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黑体" w:cs="Times New Roman"/>
          <w:bCs/>
          <w:color w:val="000000"/>
          <w:kern w:val="2"/>
          <w:sz w:val="52"/>
          <w:szCs w:val="52"/>
        </w:rPr>
      </w:pPr>
      <w:r>
        <w:rPr>
          <w:rFonts w:hint="default" w:ascii="Times New Roman" w:hAnsi="Times New Roman" w:eastAsia="黑体" w:cs="Times New Roman"/>
          <w:bCs/>
          <w:color w:val="000000"/>
          <w:spacing w:val="30"/>
          <w:kern w:val="2"/>
          <w:sz w:val="52"/>
          <w:szCs w:val="52"/>
          <w:fitText w:val="5742" w:id="0"/>
        </w:rPr>
        <w:t>国家市场监督管理总</w:t>
      </w:r>
      <w:r>
        <w:rPr>
          <w:rFonts w:hint="default" w:ascii="Times New Roman" w:hAnsi="Times New Roman" w:eastAsia="黑体" w:cs="Times New Roman"/>
          <w:bCs/>
          <w:color w:val="000000"/>
          <w:spacing w:val="1"/>
          <w:kern w:val="2"/>
          <w:sz w:val="52"/>
          <w:szCs w:val="52"/>
          <w:fitText w:val="5742" w:id="0"/>
        </w:rPr>
        <w:t>局</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2"/>
          <w:sz w:val="52"/>
          <w:szCs w:val="52"/>
          <w:fitText w:val="5742" w:id="1"/>
        </w:rPr>
        <w:t>行政处罚决定</w:t>
      </w:r>
      <w:r>
        <w:rPr>
          <w:rFonts w:hint="default" w:ascii="Times New Roman" w:hAnsi="Times New Roman" w:eastAsia="黑体" w:cs="Times New Roman"/>
          <w:bCs/>
          <w:color w:val="000000"/>
          <w:spacing w:val="1"/>
          <w:kern w:val="2"/>
          <w:sz w:val="52"/>
          <w:szCs w:val="52"/>
          <w:fitText w:val="5742" w:id="1"/>
        </w:rPr>
        <w:t>书</w:t>
      </w:r>
    </w:p>
    <w:p>
      <w:pPr>
        <w:keepNext w:val="0"/>
        <w:keepLines w:val="0"/>
        <w:pageBreakBefore w:val="0"/>
        <w:widowControl w:val="0"/>
        <w:kinsoku/>
        <w:wordWrap/>
        <w:topLinePunct w:val="0"/>
        <w:bidi w:val="0"/>
        <w:spacing w:line="580" w:lineRule="exact"/>
        <w:jc w:val="center"/>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国市监处〔202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val="en-US" w:eastAsia="zh-CN"/>
        </w:rPr>
        <w:t>67</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szCs w:val="32"/>
          <w:lang w:val="en-US" w:eastAsia="zh-CN"/>
        </w:rPr>
        <w:t>腾讯控股有限公司</w:t>
      </w:r>
    </w:p>
    <w:p>
      <w:pPr>
        <w:pStyle w:val="2"/>
        <w:keepNext w:val="0"/>
        <w:keepLines w:val="0"/>
        <w:pageBreakBefore w:val="0"/>
        <w:widowControl w:val="0"/>
        <w:kinsoku/>
        <w:wordWrap/>
        <w:topLinePunct w:val="0"/>
        <w:bidi w:val="0"/>
        <w:snapToGrid/>
        <w:spacing w:after="0" w:line="594" w:lineRule="exact"/>
        <w:ind w:firstLine="628" w:firstLineChars="200"/>
        <w:textAlignment w:val="auto"/>
        <w:outlineLvl w:val="9"/>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kern w:val="2"/>
          <w:sz w:val="32"/>
          <w:szCs w:val="32"/>
          <w:lang w:eastAsia="zh-CN"/>
        </w:rPr>
        <w:t>开曼群岛哈金斯大道克里奇广场</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kern w:val="2"/>
          <w:sz w:val="32"/>
          <w:szCs w:val="32"/>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反垄断法》</w:t>
      </w:r>
      <w:r>
        <w:rPr>
          <w:rFonts w:hint="default" w:ascii="Times New Roman" w:hAnsi="Times New Roman" w:eastAsia="仿宋_GB2312" w:cs="Times New Roman"/>
          <w:sz w:val="32"/>
          <w:szCs w:val="32"/>
          <w:lang w:eastAsia="zh-CN"/>
        </w:rPr>
        <w:t>（以下简称《反垄断法》）</w:t>
      </w:r>
      <w:r>
        <w:rPr>
          <w:rFonts w:hint="eastAsia" w:eastAsia="仿宋_GB2312" w:cs="Times New Roman"/>
          <w:sz w:val="32"/>
          <w:szCs w:val="32"/>
          <w:lang w:eastAsia="zh-CN"/>
        </w:rPr>
        <w:t>、</w:t>
      </w:r>
      <w:r>
        <w:rPr>
          <w:rFonts w:hint="default" w:ascii="Times New Roman" w:hAnsi="Times New Roman" w:eastAsia="仿宋_GB2312" w:cs="Times New Roman"/>
          <w:kern w:val="2"/>
          <w:sz w:val="32"/>
          <w:szCs w:val="32"/>
          <w:lang w:eastAsia="zh-CN"/>
        </w:rPr>
        <w:t>《经营者集中审查暂行规定》</w:t>
      </w:r>
      <w:r>
        <w:rPr>
          <w:rFonts w:hint="default" w:ascii="Times New Roman" w:hAnsi="Times New Roman" w:eastAsia="仿宋_GB2312" w:cs="Times New Roman"/>
          <w:kern w:val="2"/>
          <w:sz w:val="32"/>
          <w:szCs w:val="32"/>
        </w:rPr>
        <w:t>，本机关于</w:t>
      </w:r>
      <w:r>
        <w:rPr>
          <w:rFonts w:hint="default" w:ascii="Times New Roman" w:hAnsi="Times New Roman" w:eastAsia="仿宋_GB2312" w:cs="Times New Roman"/>
          <w:sz w:val="32"/>
          <w:szCs w:val="32"/>
          <w:lang w:val="en-US" w:eastAsia="zh-CN"/>
        </w:rPr>
        <w:t>2021年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kern w:val="2"/>
          <w:sz w:val="32"/>
          <w:szCs w:val="32"/>
        </w:rPr>
        <w:t>对腾讯控股有限公司（以下简称腾讯）收购中国音乐</w:t>
      </w:r>
      <w:r>
        <w:rPr>
          <w:rFonts w:hint="eastAsia" w:eastAsia="仿宋_GB2312" w:cs="Times New Roman"/>
          <w:kern w:val="2"/>
          <w:sz w:val="32"/>
          <w:szCs w:val="32"/>
          <w:lang w:eastAsia="zh-CN"/>
        </w:rPr>
        <w:t>集团</w:t>
      </w:r>
      <w:r>
        <w:rPr>
          <w:rFonts w:hint="default" w:ascii="Times New Roman" w:hAnsi="Times New Roman" w:eastAsia="仿宋_GB2312" w:cs="Times New Roman"/>
          <w:kern w:val="2"/>
          <w:sz w:val="32"/>
          <w:szCs w:val="32"/>
        </w:rPr>
        <w:t>股权</w:t>
      </w:r>
      <w:r>
        <w:rPr>
          <w:rFonts w:hint="default" w:ascii="Times New Roman" w:hAnsi="Times New Roman" w:eastAsia="仿宋_GB2312" w:cs="Times New Roman"/>
          <w:sz w:val="32"/>
          <w:szCs w:val="32"/>
        </w:rPr>
        <w:t>涉嫌</w:t>
      </w:r>
      <w:r>
        <w:rPr>
          <w:rFonts w:hint="default" w:ascii="Times New Roman" w:hAnsi="Times New Roman" w:eastAsia="仿宋_GB2312" w:cs="Times New Roman"/>
          <w:sz w:val="32"/>
          <w:szCs w:val="32"/>
          <w:lang w:eastAsia="zh-CN"/>
        </w:rPr>
        <w:t>违法实施经营者集中</w:t>
      </w:r>
      <w:r>
        <w:rPr>
          <w:rFonts w:hint="default" w:ascii="Times New Roman" w:hAnsi="Times New Roman" w:eastAsia="仿宋_GB2312" w:cs="Times New Roman"/>
          <w:kern w:val="2"/>
          <w:sz w:val="32"/>
          <w:szCs w:val="32"/>
        </w:rPr>
        <w:t>进行立案调查。</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Autospacing="0" w:line="594" w:lineRule="exact"/>
        <w:ind w:left="0" w:right="0" w:firstLine="628" w:firstLineChars="200"/>
        <w:jc w:val="left"/>
        <w:textAlignment w:val="auto"/>
        <w:outlineLvl w:val="9"/>
        <w:rPr>
          <w:rFonts w:hint="default" w:ascii="Times New Roman" w:hAnsi="Times New Roman" w:cs="Times New Roman"/>
        </w:rPr>
      </w:pPr>
      <w:r>
        <w:rPr>
          <w:rFonts w:hint="default" w:ascii="Times New Roman" w:hAnsi="Times New Roman" w:eastAsia="仿宋_GB2312" w:cs="Times New Roman"/>
          <w:kern w:val="2"/>
          <w:sz w:val="32"/>
          <w:szCs w:val="32"/>
        </w:rPr>
        <w:t>经查，该案构成违法实施的经营者集中，具有</w:t>
      </w:r>
      <w:r>
        <w:rPr>
          <w:rFonts w:hint="eastAsia" w:eastAsia="仿宋_GB2312" w:cs="Times New Roman"/>
          <w:kern w:val="2"/>
          <w:sz w:val="32"/>
          <w:szCs w:val="32"/>
          <w:lang w:eastAsia="zh-CN"/>
        </w:rPr>
        <w:t>或者可能具有</w:t>
      </w:r>
      <w:r>
        <w:rPr>
          <w:rFonts w:hint="default" w:ascii="Times New Roman" w:hAnsi="Times New Roman" w:eastAsia="仿宋_GB2312" w:cs="Times New Roman"/>
          <w:kern w:val="2"/>
          <w:sz w:val="32"/>
          <w:szCs w:val="32"/>
        </w:rPr>
        <w:t>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规定，向</w:t>
      </w:r>
      <w:r>
        <w:rPr>
          <w:rFonts w:hint="eastAsia" w:eastAsia="仿宋_GB2312" w:cs="Times New Roman"/>
          <w:kern w:val="2"/>
          <w:sz w:val="32"/>
          <w:szCs w:val="32"/>
          <w:lang w:eastAsia="zh-CN"/>
        </w:rPr>
        <w:t>腾讯</w:t>
      </w:r>
      <w:r>
        <w:rPr>
          <w:rFonts w:hint="default" w:ascii="Times New Roman" w:hAnsi="Times New Roman" w:eastAsia="仿宋_GB2312" w:cs="Times New Roman"/>
          <w:kern w:val="2"/>
          <w:sz w:val="32"/>
          <w:szCs w:val="32"/>
        </w:rPr>
        <w:t>送达《行政处罚告知书》，告知其拟作出</w:t>
      </w:r>
      <w:r>
        <w:rPr>
          <w:rFonts w:hint="eastAsia" w:eastAsia="仿宋_GB2312" w:cs="Times New Roman"/>
          <w:kern w:val="2"/>
          <w:sz w:val="32"/>
          <w:szCs w:val="32"/>
          <w:lang w:eastAsia="zh-CN"/>
        </w:rPr>
        <w:t>的</w:t>
      </w:r>
      <w:r>
        <w:rPr>
          <w:rFonts w:hint="default" w:ascii="Times New Roman" w:hAnsi="Times New Roman" w:eastAsia="仿宋_GB2312" w:cs="Times New Roman"/>
          <w:kern w:val="2"/>
          <w:sz w:val="32"/>
          <w:szCs w:val="32"/>
        </w:rPr>
        <w:t>行政处罚</w:t>
      </w:r>
      <w:r>
        <w:rPr>
          <w:rFonts w:hint="eastAsia" w:eastAsia="仿宋_GB2312" w:cs="Times New Roman"/>
          <w:kern w:val="2"/>
          <w:sz w:val="32"/>
          <w:szCs w:val="32"/>
          <w:lang w:eastAsia="zh-CN"/>
        </w:rPr>
        <w:t>内容及</w:t>
      </w:r>
      <w:r>
        <w:rPr>
          <w:rFonts w:hint="default" w:ascii="Times New Roman" w:hAnsi="Times New Roman" w:eastAsia="仿宋_GB2312" w:cs="Times New Roman"/>
          <w:kern w:val="2"/>
          <w:sz w:val="32"/>
          <w:szCs w:val="32"/>
        </w:rPr>
        <w:t>事实、理由、</w:t>
      </w:r>
      <w:r>
        <w:rPr>
          <w:rFonts w:hint="eastAsia" w:eastAsia="仿宋_GB2312" w:cs="Times New Roman"/>
          <w:kern w:val="2"/>
          <w:sz w:val="32"/>
          <w:szCs w:val="32"/>
          <w:lang w:eastAsia="zh-CN"/>
        </w:rPr>
        <w:t>依据</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eastAsia="zh-CN"/>
        </w:rPr>
        <w:t>并告知</w:t>
      </w:r>
      <w:r>
        <w:rPr>
          <w:rFonts w:hint="default" w:ascii="Times New Roman" w:hAnsi="Times New Roman" w:eastAsia="仿宋_GB2312" w:cs="Times New Roman"/>
          <w:kern w:val="2"/>
          <w:sz w:val="32"/>
          <w:szCs w:val="32"/>
        </w:rPr>
        <w:t>其依法享有的陈述、申辩和要求听证</w:t>
      </w:r>
      <w:r>
        <w:rPr>
          <w:rFonts w:hint="eastAsia" w:eastAsia="仿宋_GB2312" w:cs="Times New Roman"/>
          <w:kern w:val="2"/>
          <w:sz w:val="32"/>
          <w:szCs w:val="32"/>
          <w:lang w:eastAsia="zh-CN"/>
        </w:rPr>
        <w:t>等权利</w:t>
      </w:r>
      <w:r>
        <w:rPr>
          <w:rFonts w:hint="default" w:ascii="Times New Roman" w:hAnsi="Times New Roman" w:eastAsia="仿宋_GB2312" w:cs="Times New Roman"/>
          <w:kern w:val="2"/>
          <w:sz w:val="32"/>
          <w:szCs w:val="32"/>
        </w:rPr>
        <w:t>。</w:t>
      </w:r>
      <w:r>
        <w:rPr>
          <w:rFonts w:hint="eastAsia" w:eastAsia="仿宋_GB2312" w:cs="Times New Roman"/>
          <w:kern w:val="2"/>
          <w:sz w:val="32"/>
          <w:szCs w:val="32"/>
          <w:lang w:eastAsia="zh-CN"/>
        </w:rPr>
        <w:t>腾讯</w:t>
      </w:r>
      <w:r>
        <w:rPr>
          <w:rFonts w:hint="default" w:ascii="Times New Roman" w:hAnsi="Times New Roman" w:eastAsia="仿宋_GB2312" w:cs="Times New Roman"/>
          <w:kern w:val="2"/>
          <w:sz w:val="32"/>
          <w:szCs w:val="32"/>
          <w:lang w:val="en-US" w:eastAsia="zh-CN" w:bidi="ar"/>
        </w:rPr>
        <w:t>在规定期限内没有提出陈述、申辩或要求听证。本案现已调查、审理终结。</w:t>
      </w:r>
    </w:p>
    <w:p>
      <w:pPr>
        <w:keepNext w:val="0"/>
        <w:keepLines w:val="0"/>
        <w:pageBreakBefore w:val="0"/>
        <w:widowControl w:val="0"/>
        <w:numPr>
          <w:ilvl w:val="0"/>
          <w:numId w:val="1"/>
        </w:numPr>
        <w:suppressAutoHyphens/>
        <w:kinsoku/>
        <w:wordWrap/>
        <w:overflowPunct w:val="0"/>
        <w:topLinePunct w:val="0"/>
        <w:autoSpaceDE w:val="0"/>
        <w:autoSpaceDN w:val="0"/>
        <w:bidi w:val="0"/>
        <w:adjustRightInd w:val="0"/>
        <w:snapToGrid/>
        <w:spacing w:line="594" w:lineRule="exact"/>
        <w:ind w:firstLine="628" w:firstLineChars="200"/>
        <w:textAlignment w:val="auto"/>
        <w:outlineLvl w:val="9"/>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基本情况</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楷体" w:cstheme="minorBidi"/>
          <w:b/>
          <w:sz w:val="32"/>
          <w:szCs w:val="32"/>
        </w:rPr>
      </w:pPr>
      <w:r>
        <w:rPr>
          <w:rFonts w:hint="eastAsia" w:ascii="Times New Roman" w:hAnsi="Times New Roman" w:eastAsia="楷体" w:cstheme="minorBidi"/>
          <w:b/>
          <w:sz w:val="32"/>
          <w:szCs w:val="32"/>
        </w:rPr>
        <w:t>（一）交易方。</w:t>
      </w:r>
    </w:p>
    <w:p>
      <w:pPr>
        <w:keepNext w:val="0"/>
        <w:keepLines w:val="0"/>
        <w:pageBreakBefore w:val="0"/>
        <w:widowControl w:val="0"/>
        <w:kinsoku/>
        <w:wordWrap/>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收购方：腾讯</w:t>
      </w:r>
      <w:r>
        <w:rPr>
          <w:rFonts w:hint="eastAsia" w:eastAsia="仿宋_GB2312" w:cs="Times New Roman"/>
          <w:b/>
          <w:sz w:val="32"/>
          <w:szCs w:val="32"/>
          <w:lang w:eastAsia="zh-CN"/>
        </w:rPr>
        <w:t>。</w:t>
      </w:r>
      <w:r>
        <w:rPr>
          <w:rFonts w:hint="default" w:ascii="Times New Roman" w:hAnsi="Times New Roman" w:eastAsia="仿宋_GB2312" w:cs="Times New Roman"/>
          <w:sz w:val="32"/>
          <w:szCs w:val="32"/>
          <w:lang w:val="en-US" w:eastAsia="zh-CN"/>
        </w:rPr>
        <w:t>1999</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11月于英属维尔京群岛注册成立，2004年2月迁册至英属</w:t>
      </w:r>
      <w:r>
        <w:rPr>
          <w:rFonts w:hint="default" w:ascii="Times New Roman" w:hAnsi="Times New Roman" w:eastAsia="仿宋_GB2312" w:cs="Times New Roman"/>
          <w:sz w:val="32"/>
          <w:szCs w:val="32"/>
          <w:lang w:eastAsia="zh-CN"/>
        </w:rPr>
        <w:t>开曼群岛</w:t>
      </w:r>
      <w:r>
        <w:rPr>
          <w:rFonts w:hint="default" w:ascii="Times New Roman" w:hAnsi="Times New Roman" w:eastAsia="仿宋_GB2312" w:cs="Times New Roman"/>
          <w:sz w:val="32"/>
          <w:szCs w:val="32"/>
        </w:rPr>
        <w:t>，2004年6月在香港联交所上市，</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通过协议控制</w:t>
      </w:r>
      <w:r>
        <w:rPr>
          <w:rFonts w:hint="eastAsia" w:eastAsia="仿宋_GB2312" w:cs="Times New Roman"/>
          <w:color w:val="000000" w:themeColor="text1"/>
          <w:sz w:val="32"/>
          <w:szCs w:val="32"/>
          <w:highlight w:val="none"/>
          <w:lang w:eastAsia="zh-CN"/>
          <w14:textFill>
            <w14:solidFill>
              <w14:schemeClr w14:val="tx1"/>
            </w14:solidFill>
          </w14:textFill>
        </w:rPr>
        <w:t>境内主要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运营实体</w:t>
      </w:r>
      <w:r>
        <w:rPr>
          <w:rFonts w:hint="eastAsia" w:eastAsia="仿宋_GB2312" w:cs="Times New Roman"/>
          <w:color w:val="000000" w:themeColor="text1"/>
          <w:sz w:val="32"/>
          <w:szCs w:val="32"/>
          <w:highlight w:val="none"/>
          <w:lang w:eastAsia="zh-CN"/>
          <w14:textFill>
            <w14:solidFill>
              <w14:schemeClr w14:val="tx1"/>
            </w14:solidFill>
          </w14:textFill>
        </w:rPr>
        <w:t>深圳市</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腾讯</w:t>
      </w:r>
      <w:r>
        <w:rPr>
          <w:rFonts w:hint="eastAsia" w:eastAsia="仿宋_GB2312" w:cs="Times New Roman"/>
          <w:color w:val="000000" w:themeColor="text1"/>
          <w:sz w:val="32"/>
          <w:szCs w:val="32"/>
          <w:highlight w:val="none"/>
          <w:lang w:eastAsia="zh-CN"/>
          <w14:textFill>
            <w14:solidFill>
              <w14:schemeClr w14:val="tx1"/>
            </w14:solidFill>
          </w14:textFill>
        </w:rPr>
        <w:t>计算机系统有限公司。</w:t>
      </w:r>
      <w:r>
        <w:rPr>
          <w:rFonts w:hint="default" w:ascii="Times New Roman" w:hAnsi="Times New Roman" w:eastAsia="仿宋_GB2312" w:cs="Times New Roman"/>
          <w:sz w:val="32"/>
          <w:szCs w:val="32"/>
        </w:rPr>
        <w:t>主要业务包括社交和通信服务、社交网络平台、网络音乐平台、游戏、网络视频服务</w:t>
      </w:r>
      <w:r>
        <w:rPr>
          <w:rFonts w:hint="eastAsia" w:eastAsia="仿宋_GB2312" w:cs="Times New Roman"/>
          <w:sz w:val="32"/>
          <w:szCs w:val="32"/>
          <w:lang w:eastAsia="zh-CN"/>
        </w:rPr>
        <w:t>、互动娱乐直播</w:t>
      </w:r>
      <w:r>
        <w:rPr>
          <w:rFonts w:hint="default" w:ascii="Times New Roman" w:hAnsi="Times New Roman" w:eastAsia="仿宋_GB2312" w:cs="Times New Roman"/>
          <w:sz w:val="32"/>
          <w:szCs w:val="32"/>
        </w:rPr>
        <w:t>等。2015年全球营业额为1028.63亿元</w:t>
      </w:r>
      <w:r>
        <w:rPr>
          <w:rFonts w:hint="eastAsia" w:eastAsia="仿宋_GB2312" w:cs="Times New Roman"/>
          <w:sz w:val="32"/>
          <w:szCs w:val="32"/>
          <w:lang w:eastAsia="zh-CN"/>
        </w:rPr>
        <w:t>人民币（币种下同）</w:t>
      </w:r>
      <w:r>
        <w:rPr>
          <w:rFonts w:hint="default" w:ascii="Times New Roman" w:hAnsi="Times New Roman" w:eastAsia="仿宋_GB2312" w:cs="Times New Roman"/>
          <w:sz w:val="32"/>
          <w:szCs w:val="32"/>
        </w:rPr>
        <w:t>，中国境内营业额为962.51亿元</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被收购方：中国音乐集团</w:t>
      </w:r>
      <w:r>
        <w:rPr>
          <w:rFonts w:hint="eastAsia" w:eastAsia="仿宋_GB2312" w:cs="仿宋_GB2312"/>
          <w:b/>
          <w:sz w:val="32"/>
          <w:szCs w:val="32"/>
          <w:lang w:eastAsia="zh-CN"/>
        </w:rPr>
        <w:t>。</w:t>
      </w:r>
      <w:r>
        <w:rPr>
          <w:rFonts w:hint="eastAsia" w:ascii="Times New Roman" w:hAnsi="Times New Roman" w:eastAsia="仿宋_GB2312" w:cs="仿宋_GB2312"/>
          <w:sz w:val="32"/>
          <w:szCs w:val="32"/>
        </w:rPr>
        <w:t>2012年</w:t>
      </w:r>
      <w:r>
        <w:rPr>
          <w:rFonts w:hint="eastAsia" w:eastAsia="仿宋_GB2312" w:cs="仿宋_GB2312"/>
          <w:sz w:val="32"/>
          <w:szCs w:val="32"/>
          <w:lang w:eastAsia="zh-CN"/>
        </w:rPr>
        <w:t>于</w:t>
      </w:r>
      <w:r>
        <w:rPr>
          <w:rFonts w:hint="eastAsia" w:ascii="Times New Roman" w:hAnsi="Times New Roman" w:eastAsia="仿宋_GB2312" w:cs="仿宋_GB2312"/>
          <w:sz w:val="32"/>
          <w:szCs w:val="32"/>
        </w:rPr>
        <w:t>开曼群岛注册成立，</w:t>
      </w:r>
      <w:r>
        <w:rPr>
          <w:rFonts w:hint="eastAsia" w:ascii="Times New Roman" w:hAnsi="Times New Roman" w:eastAsia="仿宋_GB2312" w:cs="仿宋_GB2312"/>
          <w:color w:val="auto"/>
          <w:sz w:val="32"/>
          <w:szCs w:val="32"/>
          <w:highlight w:val="none"/>
          <w:shd w:val="clear" w:color="auto" w:fill="auto"/>
        </w:rPr>
        <w:t>通过协议控制</w:t>
      </w:r>
      <w:r>
        <w:rPr>
          <w:rFonts w:hint="eastAsia" w:eastAsia="仿宋_GB2312" w:cs="Times New Roman"/>
          <w:color w:val="000000" w:themeColor="text1"/>
          <w:sz w:val="32"/>
          <w:szCs w:val="32"/>
          <w:highlight w:val="none"/>
          <w:lang w:eastAsia="zh-CN"/>
          <w14:textFill>
            <w14:solidFill>
              <w14:schemeClr w14:val="tx1"/>
            </w14:solidFill>
          </w14:textFill>
        </w:rPr>
        <w:t>境内主要</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运营实体</w:t>
      </w:r>
      <w:r>
        <w:rPr>
          <w:rFonts w:hint="eastAsia" w:ascii="Times New Roman" w:hAnsi="Times New Roman" w:eastAsia="仿宋_GB2312" w:cs="仿宋_GB2312"/>
          <w:color w:val="auto"/>
          <w:sz w:val="32"/>
          <w:szCs w:val="32"/>
          <w:highlight w:val="none"/>
          <w:shd w:val="clear" w:color="auto" w:fill="auto"/>
          <w:lang w:eastAsia="zh-CN"/>
        </w:rPr>
        <w:t>海洋互动（北京）信息技术有限公司</w:t>
      </w:r>
      <w:r>
        <w:rPr>
          <w:rFonts w:hint="eastAsia" w:eastAsia="仿宋_GB2312" w:cs="仿宋_GB2312"/>
          <w:color w:val="auto"/>
          <w:sz w:val="32"/>
          <w:szCs w:val="32"/>
          <w:highlight w:val="none"/>
          <w:shd w:val="clear" w:color="auto" w:fill="auto"/>
          <w:lang w:eastAsia="zh-CN"/>
        </w:rPr>
        <w:t>。</w:t>
      </w:r>
      <w:r>
        <w:rPr>
          <w:rFonts w:hint="eastAsia" w:ascii="Times New Roman" w:hAnsi="Times New Roman" w:eastAsia="仿宋_GB2312" w:cs="仿宋_GB2312"/>
          <w:sz w:val="32"/>
          <w:szCs w:val="32"/>
        </w:rPr>
        <w:t>主要业务包括网络音乐平台、唱片公司出版业务、版权代理业务等。</w:t>
      </w:r>
      <w:r>
        <w:rPr>
          <w:rFonts w:hint="eastAsia" w:ascii="Times New Roman" w:hAnsi="Times New Roman" w:eastAsia="仿宋_GB2312" w:cs="仿宋_GB2312"/>
          <w:sz w:val="32"/>
          <w:szCs w:val="32"/>
          <w:lang w:eastAsia="zh-CN"/>
        </w:rPr>
        <w:t>自然人</w:t>
      </w:r>
      <w:r>
        <w:rPr>
          <w:rFonts w:hint="eastAsia" w:eastAsia="仿宋_GB2312" w:cs="仿宋_GB2312"/>
          <w:kern w:val="2"/>
          <w:sz w:val="32"/>
          <w:szCs w:val="32"/>
          <w:lang w:val="en-US" w:eastAsia="zh-CN" w:bidi="ar-SA"/>
        </w:rPr>
        <w:t>（略）</w:t>
      </w:r>
      <w:r>
        <w:rPr>
          <w:rFonts w:hint="eastAsia" w:ascii="Times New Roman" w:hAnsi="Times New Roman" w:eastAsia="仿宋_GB2312" w:cs="仿宋_GB2312"/>
          <w:sz w:val="32"/>
          <w:szCs w:val="32"/>
          <w:lang w:eastAsia="zh-CN"/>
        </w:rPr>
        <w:t>作为一致行动人拥有共同控制权</w:t>
      </w:r>
      <w:r>
        <w:rPr>
          <w:rFonts w:hint="eastAsia" w:ascii="Times New Roman" w:hAnsi="Times New Roman" w:eastAsia="仿宋_GB2312" w:cs="仿宋_GB2312"/>
          <w:sz w:val="32"/>
          <w:szCs w:val="32"/>
        </w:rPr>
        <w:t>。2015年全球及中国境内营业额均为</w:t>
      </w:r>
      <w:r>
        <w:rPr>
          <w:rFonts w:hint="eastAsia" w:eastAsia="仿宋_GB2312" w:cs="仿宋_GB2312"/>
          <w:kern w:val="2"/>
          <w:sz w:val="32"/>
          <w:szCs w:val="32"/>
          <w:lang w:val="en-US" w:eastAsia="zh-CN" w:bidi="ar-SA"/>
        </w:rPr>
        <w:t>（略）</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ascii="Times New Roman" w:hAnsi="Times New Roman" w:eastAsia="楷体" w:cstheme="minorBidi"/>
          <w:b/>
          <w:sz w:val="32"/>
          <w:szCs w:val="32"/>
          <w:lang w:val="en-US" w:eastAsia="zh-CN"/>
        </w:rPr>
      </w:pPr>
      <w:r>
        <w:rPr>
          <w:rFonts w:hint="eastAsia" w:ascii="Times New Roman" w:hAnsi="Times New Roman" w:eastAsia="楷体" w:cstheme="minorBidi"/>
          <w:b/>
          <w:sz w:val="32"/>
          <w:szCs w:val="32"/>
          <w:lang w:val="en-US" w:eastAsia="zh-CN"/>
        </w:rPr>
        <w:t>（二）交易概况。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jc w:val="both"/>
        <w:textAlignment w:val="auto"/>
        <w:outlineLvl w:val="9"/>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2016年7月12日，腾讯以估值</w:t>
      </w:r>
      <w:r>
        <w:rPr>
          <w:rFonts w:hint="eastAsia" w:eastAsia="仿宋_GB2312" w:cs="仿宋_GB2312"/>
          <w:kern w:val="2"/>
          <w:sz w:val="32"/>
          <w:szCs w:val="32"/>
          <w:lang w:val="en-US" w:eastAsia="zh-CN" w:bidi="ar-SA"/>
        </w:rPr>
        <w:t>（略）</w:t>
      </w:r>
      <w:r>
        <w:rPr>
          <w:rFonts w:hint="eastAsia" w:ascii="Times New Roman" w:hAnsi="Times New Roman" w:eastAsia="仿宋_GB2312" w:cs="仿宋_GB2312"/>
          <w:kern w:val="2"/>
          <w:sz w:val="32"/>
          <w:szCs w:val="32"/>
          <w:lang w:val="en-US" w:eastAsia="zh-CN" w:bidi="ar-SA"/>
        </w:rPr>
        <w:t>的业务（主要是QQ音乐业务）投入中国音乐集团，获得中国音乐集团61.64%股权，取得对中国音乐集团的单独控制权。2016年12月，整合后的中国音乐集团更名为腾讯音乐娱乐集团。2017年12月6日，交易完成股权变更登记手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（一）本案构成违法实施的经营者集中。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left="0" w:firstLine="628"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本项集中前，中国音乐集团由自然人</w:t>
      </w:r>
      <w:r>
        <w:rPr>
          <w:rFonts w:hint="eastAsia" w:eastAsia="仿宋_GB2312" w:cs="仿宋_GB2312"/>
          <w:kern w:val="2"/>
          <w:sz w:val="32"/>
          <w:szCs w:val="32"/>
          <w:lang w:val="en-US" w:eastAsia="zh-CN" w:bidi="ar-SA"/>
        </w:rPr>
        <w:t>（略）</w:t>
      </w:r>
      <w:r>
        <w:rPr>
          <w:rFonts w:hint="default" w:ascii="Times New Roman" w:hAnsi="Times New Roman" w:eastAsia="仿宋_GB2312" w:cs="Times New Roman"/>
          <w:sz w:val="32"/>
          <w:szCs w:val="32"/>
          <w:lang w:val="en-US" w:eastAsia="zh-CN"/>
        </w:rPr>
        <w:t>共同控制。本项集中后，腾讯</w:t>
      </w:r>
      <w:r>
        <w:rPr>
          <w:rFonts w:hint="eastAsia" w:ascii="Times New Roman" w:hAnsi="Times New Roman" w:eastAsia="仿宋_GB2312" w:cs="Times New Roman"/>
          <w:sz w:val="32"/>
          <w:szCs w:val="32"/>
          <w:lang w:val="en-US" w:eastAsia="zh-CN"/>
        </w:rPr>
        <w:t>获得</w:t>
      </w:r>
      <w:r>
        <w:rPr>
          <w:rFonts w:hint="default" w:ascii="Times New Roman" w:hAnsi="Times New Roman" w:eastAsia="仿宋_GB2312" w:cs="Times New Roman"/>
          <w:sz w:val="32"/>
          <w:szCs w:val="32"/>
          <w:lang w:val="en-US" w:eastAsia="zh-CN"/>
        </w:rPr>
        <w:t>中国音乐集团61.64%股权，取得对中国音乐集团单独控制权，</w:t>
      </w:r>
      <w:r>
        <w:rPr>
          <w:rFonts w:hint="default" w:ascii="Times New Roman" w:hAnsi="Times New Roman" w:eastAsia="仿宋_GB2312" w:cs="Times New Roman"/>
          <w:sz w:val="32"/>
          <w:szCs w:val="32"/>
        </w:rPr>
        <w:t>属于《反垄断法》第二十条规定的经营者集中。</w:t>
      </w:r>
    </w:p>
    <w:p>
      <w:pPr>
        <w:keepNext w:val="0"/>
        <w:keepLines w:val="0"/>
        <w:pageBreakBefore w:val="0"/>
        <w:widowControl w:val="0"/>
        <w:kinsoku/>
        <w:wordWrap/>
        <w:topLinePunct w:val="0"/>
        <w:bidi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腾讯2015年全球营业额为1028.63亿元，中国境内营业额为962.51亿元</w:t>
      </w:r>
      <w:r>
        <w:rPr>
          <w:rFonts w:hint="eastAsia" w:eastAsia="仿宋_GB2312" w:cs="Times New Roman"/>
          <w:kern w:val="2"/>
          <w:sz w:val="32"/>
          <w:szCs w:val="32"/>
          <w:lang w:eastAsia="zh-CN"/>
        </w:rPr>
        <w:t>，</w:t>
      </w:r>
      <w:r>
        <w:rPr>
          <w:rFonts w:hint="default" w:ascii="Times New Roman" w:hAnsi="Times New Roman" w:eastAsia="仿宋_GB2312" w:cs="Times New Roman"/>
          <w:kern w:val="2"/>
          <w:sz w:val="32"/>
          <w:szCs w:val="32"/>
        </w:rPr>
        <w:t>中国音乐集团2015年全球及中国境内营业额均为</w:t>
      </w:r>
      <w:r>
        <w:rPr>
          <w:rFonts w:hint="eastAsia" w:eastAsia="仿宋_GB2312" w:cs="仿宋_GB2312"/>
          <w:kern w:val="2"/>
          <w:sz w:val="32"/>
          <w:szCs w:val="32"/>
          <w:lang w:val="en-US" w:eastAsia="zh-CN" w:bidi="ar-SA"/>
        </w:rPr>
        <w:t>（略）</w:t>
      </w:r>
      <w:r>
        <w:rPr>
          <w:rFonts w:hint="default" w:ascii="Times New Roman" w:hAnsi="Times New Roman" w:eastAsia="仿宋_GB2312" w:cs="Times New Roman"/>
          <w:kern w:val="2"/>
          <w:sz w:val="32"/>
          <w:szCs w:val="32"/>
        </w:rPr>
        <w:t>，达到《国务院关于经营者集中申报标准的规定》第</w:t>
      </w:r>
      <w:r>
        <w:rPr>
          <w:rFonts w:hint="default" w:ascii="Times New Roman" w:hAnsi="Times New Roman" w:eastAsia="仿宋_GB2312" w:cs="Times New Roman"/>
          <w:kern w:val="2"/>
          <w:sz w:val="32"/>
          <w:szCs w:val="32"/>
          <w:lang w:val="en-US" w:eastAsia="zh-CN"/>
        </w:rPr>
        <w:t>三</w:t>
      </w:r>
      <w:r>
        <w:rPr>
          <w:rFonts w:hint="default" w:ascii="Times New Roman" w:hAnsi="Times New Roman" w:eastAsia="仿宋_GB2312" w:cs="Times New Roman"/>
          <w:kern w:val="2"/>
          <w:sz w:val="32"/>
          <w:szCs w:val="32"/>
        </w:rPr>
        <w:t>条规定的申报标准，属于应当申报的情形。</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规定“经营者集中达到国务院规定的申报标准的，经营者应当事先向国务院反垄断执法机构申报，未申报的不得实施集中”。2017年12月6日</w:t>
      </w:r>
      <w:r>
        <w:rPr>
          <w:rFonts w:hint="default" w:ascii="Times New Roman" w:hAnsi="Times New Roman" w:eastAsia="仿宋_GB2312" w:cs="Times New Roman"/>
          <w:bCs/>
          <w:kern w:val="2"/>
          <w:sz w:val="32"/>
          <w:szCs w:val="32"/>
          <w:lang w:val="en-US" w:eastAsia="zh-CN" w:bidi="ar-SA"/>
        </w:rPr>
        <w:t>，</w:t>
      </w:r>
      <w:r>
        <w:rPr>
          <w:rFonts w:hint="eastAsia" w:ascii="Times New Roman" w:hAnsi="Times New Roman" w:eastAsia="仿宋_GB2312" w:cs="Times New Roman"/>
          <w:bCs/>
          <w:kern w:val="2"/>
          <w:sz w:val="32"/>
          <w:szCs w:val="32"/>
          <w:lang w:val="en-US" w:eastAsia="zh-CN" w:bidi="ar-SA"/>
        </w:rPr>
        <w:t>腾讯</w:t>
      </w:r>
      <w:r>
        <w:rPr>
          <w:rFonts w:hint="default" w:ascii="Times New Roman" w:hAnsi="Times New Roman" w:eastAsia="仿宋_GB2312" w:cs="Times New Roman"/>
          <w:bCs/>
          <w:kern w:val="2"/>
          <w:sz w:val="32"/>
          <w:szCs w:val="32"/>
          <w:lang w:val="en-US" w:eastAsia="zh-CN" w:bidi="ar-SA"/>
        </w:rPr>
        <w:t>完成股权变更登记，</w:t>
      </w:r>
      <w:r>
        <w:rPr>
          <w:rFonts w:hint="default" w:ascii="Times New Roman" w:hAnsi="Times New Roman" w:eastAsia="仿宋_GB2312" w:cs="Times New Roman"/>
          <w:sz w:val="32"/>
          <w:szCs w:val="32"/>
          <w:lang w:eastAsia="zh-CN"/>
        </w:rPr>
        <w:t>在此之前未向</w:t>
      </w:r>
      <w:r>
        <w:rPr>
          <w:rFonts w:hint="eastAsia" w:eastAsia="仿宋_GB2312" w:cs="Times New Roman"/>
          <w:sz w:val="32"/>
          <w:szCs w:val="32"/>
          <w:lang w:eastAsia="zh-CN"/>
        </w:rPr>
        <w:t>本机关</w:t>
      </w:r>
      <w:r>
        <w:rPr>
          <w:rFonts w:hint="default" w:ascii="Times New Roman" w:hAnsi="Times New Roman" w:eastAsia="仿宋_GB2312" w:cs="Times New Roman"/>
          <w:sz w:val="32"/>
          <w:szCs w:val="32"/>
          <w:lang w:eastAsia="zh-CN"/>
        </w:rPr>
        <w:t>申报，违反《反垄</w:t>
      </w:r>
      <w:r>
        <w:rPr>
          <w:rFonts w:hint="default" w:ascii="Times New Roman" w:hAnsi="Times New Roman" w:eastAsia="仿宋_GB2312" w:cs="Times New Roman"/>
          <w:kern w:val="2"/>
          <w:sz w:val="32"/>
          <w:szCs w:val="32"/>
        </w:rPr>
        <w:t>断法》第</w:t>
      </w:r>
      <w:r>
        <w:rPr>
          <w:rFonts w:hint="default" w:ascii="Times New Roman" w:hAnsi="Times New Roman" w:eastAsia="仿宋_GB2312" w:cs="Times New Roman"/>
          <w:kern w:val="2"/>
          <w:sz w:val="32"/>
          <w:szCs w:val="32"/>
          <w:lang w:val="en-US" w:eastAsia="zh-CN"/>
        </w:rPr>
        <w:t>二十一</w:t>
      </w:r>
      <w:r>
        <w:rPr>
          <w:rFonts w:hint="default" w:ascii="Times New Roman" w:hAnsi="Times New Roman" w:eastAsia="仿宋_GB2312" w:cs="Times New Roman"/>
          <w:kern w:val="2"/>
          <w:sz w:val="32"/>
          <w:szCs w:val="32"/>
        </w:rPr>
        <w:t>条</w:t>
      </w:r>
      <w:r>
        <w:rPr>
          <w:rFonts w:hint="eastAsia" w:eastAsia="仿宋_GB2312" w:cs="Times New Roman"/>
          <w:kern w:val="2"/>
          <w:sz w:val="32"/>
          <w:szCs w:val="32"/>
          <w:lang w:eastAsia="zh-CN"/>
        </w:rPr>
        <w:t>规定</w:t>
      </w:r>
      <w:r>
        <w:rPr>
          <w:rFonts w:hint="default" w:ascii="Times New Roman" w:hAnsi="Times New Roman" w:eastAsia="仿宋_GB2312" w:cs="Times New Roman"/>
          <w:kern w:val="2"/>
          <w:sz w:val="32"/>
          <w:szCs w:val="32"/>
        </w:rPr>
        <w:t>，构成</w:t>
      </w:r>
      <w:r>
        <w:rPr>
          <w:rFonts w:hint="default" w:ascii="Times New Roman" w:hAnsi="Times New Roman" w:eastAsia="仿宋_GB2312" w:cs="Times New Roman"/>
          <w:kern w:val="2"/>
          <w:sz w:val="32"/>
          <w:szCs w:val="32"/>
          <w:lang w:eastAsia="zh-CN"/>
        </w:rPr>
        <w:t>违法实施</w:t>
      </w:r>
      <w:r>
        <w:rPr>
          <w:rFonts w:hint="default" w:ascii="Times New Roman" w:hAnsi="Times New Roman" w:eastAsia="仿宋_GB2312" w:cs="Times New Roman"/>
          <w:kern w:val="2"/>
          <w:sz w:val="32"/>
          <w:szCs w:val="32"/>
        </w:rPr>
        <w:t>的经营者集中。</w:t>
      </w:r>
    </w:p>
    <w:p>
      <w:pPr>
        <w:keepNext w:val="0"/>
        <w:keepLines w:val="0"/>
        <w:pageBreakBefore w:val="0"/>
        <w:kinsoku/>
        <w:wordWrap/>
        <w:topLinePunct w:val="0"/>
        <w:autoSpaceDE/>
        <w:autoSpaceDN/>
        <w:bidi w:val="0"/>
        <w:adjustRightInd w:val="0"/>
        <w:snapToGrid w:val="0"/>
        <w:spacing w:line="588" w:lineRule="exact"/>
        <w:ind w:firstLine="628" w:firstLineChars="200"/>
        <w:textAlignment w:val="auto"/>
        <w:rPr>
          <w:rFonts w:hint="default" w:eastAsia="仿宋_GB2312"/>
          <w:lang w:val="en-US" w:eastAsia="zh-CN"/>
        </w:rPr>
      </w:pPr>
      <w:r>
        <w:rPr>
          <w:rFonts w:ascii="Times New Roman" w:hAnsi="Times New Roman" w:eastAsia="仿宋_GB2312" w:cs="Times New Roman"/>
          <w:sz w:val="32"/>
          <w:szCs w:val="32"/>
        </w:rPr>
        <w:t>以上事实，</w:t>
      </w:r>
      <w:r>
        <w:rPr>
          <w:rFonts w:hint="eastAsia" w:ascii="Times New Roman" w:hAnsi="Times New Roman" w:eastAsia="仿宋_GB2312" w:cs="Times New Roman"/>
          <w:sz w:val="32"/>
          <w:szCs w:val="32"/>
        </w:rPr>
        <w:t>有</w:t>
      </w:r>
      <w:r>
        <w:rPr>
          <w:rFonts w:hint="eastAsia" w:eastAsia="仿宋_GB2312" w:cs="Times New Roman"/>
          <w:sz w:val="32"/>
          <w:szCs w:val="32"/>
          <w:lang w:eastAsia="zh-CN"/>
        </w:rPr>
        <w:t>腾讯</w:t>
      </w:r>
      <w:r>
        <w:rPr>
          <w:rFonts w:hint="eastAsia" w:ascii="Times New Roman" w:hAnsi="Times New Roman" w:eastAsia="仿宋_GB2312" w:cs="Times New Roman"/>
          <w:sz w:val="32"/>
          <w:szCs w:val="32"/>
        </w:rPr>
        <w:t>营业执照复印件、组织架构图、股权关系图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《经营者集中反垄断审查申报表》、腾讯年报、《</w:t>
      </w:r>
      <w:r>
        <w:rPr>
          <w:rFonts w:hint="eastAsia" w:ascii="Times New Roman" w:hAnsi="Times New Roman" w:eastAsia="仿宋_GB2312" w:cs="Times New Roman"/>
          <w:sz w:val="32"/>
          <w:szCs w:val="32"/>
          <w:lang w:eastAsia="zh-CN"/>
        </w:rPr>
        <w:t>腾讯</w:t>
      </w:r>
      <w:r>
        <w:rPr>
          <w:rFonts w:hint="eastAsia" w:ascii="Times New Roman" w:hAnsi="Times New Roman" w:eastAsia="仿宋_GB2312" w:cs="Times New Roman"/>
          <w:sz w:val="32"/>
          <w:szCs w:val="32"/>
        </w:rPr>
        <w:t>相关问题的书面说明》、《股份认购协议》等证据证明。</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（二）本案</w:t>
      </w:r>
      <w:r>
        <w:rPr>
          <w:rFonts w:hint="eastAsia" w:ascii="Times New Roman" w:hAnsi="Times New Roman" w:eastAsia="楷体_GB2312" w:cs="Times New Roman"/>
          <w:b/>
          <w:bCs/>
          <w:kern w:val="2"/>
          <w:sz w:val="32"/>
          <w:szCs w:val="32"/>
          <w:lang w:eastAsia="zh-CN"/>
        </w:rPr>
        <w:t>具有或者可能具有</w:t>
      </w:r>
      <w:r>
        <w:rPr>
          <w:rFonts w:hint="default" w:ascii="Times New Roman" w:hAnsi="Times New Roman" w:eastAsia="楷体_GB2312" w:cs="Times New Roman"/>
          <w:b/>
          <w:bCs/>
          <w:kern w:val="2"/>
          <w:sz w:val="32"/>
          <w:szCs w:val="32"/>
        </w:rPr>
        <w:t>排除、限制竞争的效果。</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根据</w:t>
      </w:r>
      <w:r>
        <w:rPr>
          <w:rFonts w:ascii="Times New Roman" w:hAnsi="Times New Roman" w:eastAsia="仿宋_GB2312" w:cs="Times New Roman"/>
          <w:sz w:val="32"/>
          <w:szCs w:val="32"/>
        </w:rPr>
        <w:t>《反垄断法》</w:t>
      </w:r>
      <w:r>
        <w:rPr>
          <w:rFonts w:ascii="Times New Roman" w:hAnsi="Times New Roman" w:eastAsia="仿宋_GB2312" w:cs="Times New Roman"/>
          <w:sz w:val="32"/>
          <w:szCs w:val="32"/>
          <w:lang w:val="en"/>
        </w:rPr>
        <w:t>和</w:t>
      </w:r>
      <w:r>
        <w:rPr>
          <w:rFonts w:ascii="Times New Roman" w:hAnsi="Times New Roman" w:eastAsia="仿宋_GB2312" w:cs="Times New Roman"/>
          <w:sz w:val="32"/>
          <w:szCs w:val="32"/>
        </w:rPr>
        <w:t>《国务院反垄断委员会关于相关市场界定的指南》</w:t>
      </w:r>
      <w:r>
        <w:rPr>
          <w:rFonts w:hint="eastAsia" w:ascii="Times New Roman" w:hAnsi="Times New Roman" w:eastAsia="仿宋_GB2312" w:cs="Times New Roman"/>
          <w:sz w:val="32"/>
          <w:szCs w:val="32"/>
          <w:lang w:eastAsia="zh-CN"/>
        </w:rPr>
        <w:t>规定</w:t>
      </w:r>
      <w:r>
        <w:rPr>
          <w:rFonts w:ascii="Times New Roman" w:hAnsi="Times New Roman" w:eastAsia="仿宋_GB2312" w:cs="Times New Roman"/>
          <w:sz w:val="32"/>
          <w:szCs w:val="32"/>
        </w:rPr>
        <w:t>，同时考虑平台经济特点</w:t>
      </w:r>
      <w:r>
        <w:rPr>
          <w:rFonts w:hint="eastAsia" w:ascii="Times New Roman" w:hAnsi="Times New Roman" w:eastAsia="仿宋_GB2312" w:cs="Times New Roman"/>
          <w:sz w:val="32"/>
          <w:szCs w:val="32"/>
        </w:rPr>
        <w:t>，</w:t>
      </w:r>
      <w:r>
        <w:rPr>
          <w:rFonts w:hint="eastAsia" w:eastAsia="仿宋_GB2312" w:cs="Times New Roman"/>
          <w:sz w:val="32"/>
          <w:szCs w:val="32"/>
          <w:lang w:eastAsia="zh-CN"/>
        </w:rPr>
        <w:t>在经济学分析和问卷调查基础上，</w:t>
      </w:r>
      <w:r>
        <w:rPr>
          <w:rFonts w:hint="eastAsia" w:ascii="Times New Roman" w:hAnsi="Times New Roman" w:eastAsia="仿宋_GB2312" w:cs="Times New Roman"/>
          <w:sz w:val="32"/>
          <w:szCs w:val="32"/>
        </w:rPr>
        <w:t>本案相关市场界定</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rPr>
        <w:t>交易双方存在横向重叠</w:t>
      </w:r>
      <w:r>
        <w:rPr>
          <w:rFonts w:hint="eastAsia" w:ascii="Times New Roman" w:hAnsi="Times New Roman" w:eastAsia="仿宋_GB2312" w:cs="Times New Roman"/>
          <w:sz w:val="32"/>
          <w:szCs w:val="32"/>
          <w:lang w:eastAsia="zh-CN"/>
        </w:rPr>
        <w:t>的中国境内</w:t>
      </w:r>
      <w:r>
        <w:rPr>
          <w:rFonts w:hint="eastAsia" w:ascii="Times New Roman" w:hAnsi="Times New Roman" w:eastAsia="仿宋_GB2312" w:cs="Times New Roman"/>
          <w:sz w:val="32"/>
          <w:szCs w:val="32"/>
        </w:rPr>
        <w:t>网络音乐播放平台市场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eastAsia="zh-CN"/>
        </w:rPr>
        <w:t>网络音乐播放平台市场</w:t>
      </w:r>
      <w:r>
        <w:rPr>
          <w:rFonts w:hint="eastAsia" w:ascii="Times New Roman" w:hAnsi="Times New Roman" w:eastAsia="仿宋_GB2312" w:cs="Times New Roman"/>
          <w:sz w:val="32"/>
          <w:szCs w:val="32"/>
          <w:lang w:eastAsia="zh-CN"/>
        </w:rPr>
        <w:t>是指通过电脑端、手机端或者其他智能终端的程序或网站，以在线播放或下载方式向消费者提供完整版权音乐录音制品播放服务的平台。网络K歌、网络直播、短视频平台等虽也提供与网络音乐相关的服务，但其核心功能、应用场景、商业模式、市场进入等与网络音乐播放平台市场不具有紧密替代关系，不属于同一相关商品市场。</w:t>
      </w:r>
      <w:r>
        <w:rPr>
          <w:rFonts w:hint="eastAsia" w:eastAsia="仿宋_GB2312" w:cs="Times New Roman"/>
          <w:sz w:val="32"/>
          <w:szCs w:val="32"/>
          <w:lang w:eastAsia="zh-CN"/>
        </w:rPr>
        <w:t>由于音乐版权的授权受各国著作权法规定限制，具有明显的地域差异，中国的网络音乐播放平台获得授权的音乐版权传播范围一般为中国境内，且主要面向中国境内用户，因此相关地域市场界定为中国境内。</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经深入研究，本项集中对</w:t>
      </w:r>
      <w:r>
        <w:rPr>
          <w:rFonts w:hint="eastAsia" w:eastAsia="仿宋_GB2312" w:cs="仿宋_GB2312"/>
          <w:kern w:val="2"/>
          <w:sz w:val="32"/>
          <w:szCs w:val="32"/>
          <w:lang w:val="en-US" w:eastAsia="zh-CN" w:bidi="ar-SA"/>
        </w:rPr>
        <w:t>中国境内网络音乐播放平台</w:t>
      </w:r>
      <w:r>
        <w:rPr>
          <w:rFonts w:hint="eastAsia" w:ascii="Times New Roman" w:hAnsi="Times New Roman" w:eastAsia="仿宋_GB2312" w:cs="仿宋_GB2312"/>
          <w:kern w:val="2"/>
          <w:sz w:val="32"/>
          <w:szCs w:val="32"/>
          <w:lang w:val="en-US" w:eastAsia="zh-CN" w:bidi="ar-SA"/>
        </w:rPr>
        <w:t>市场具有或者可能具有排除、限制竞争效果：</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28" w:firstLineChars="200"/>
        <w:textAlignment w:val="auto"/>
        <w:rPr>
          <w:rFonts w:hint="eastAsia" w:ascii="Times New Roman" w:hAnsi="Times New Roman" w:eastAsia="仿宋_GB2312" w:cs="仿宋_GB2312"/>
          <w:b/>
          <w:bCs/>
          <w:kern w:val="2"/>
          <w:sz w:val="32"/>
          <w:szCs w:val="32"/>
          <w:lang w:val="en-US" w:eastAsia="zh-CN" w:bidi="ar-SA"/>
        </w:rPr>
      </w:pPr>
      <w:r>
        <w:rPr>
          <w:rFonts w:hint="eastAsia" w:ascii="Times New Roman" w:hAnsi="Times New Roman" w:eastAsia="仿宋_GB2312" w:cs="仿宋_GB2312"/>
          <w:b/>
          <w:bCs/>
          <w:kern w:val="2"/>
          <w:sz w:val="32"/>
          <w:szCs w:val="32"/>
          <w:lang w:val="en-US" w:eastAsia="zh-CN" w:bidi="ar-SA"/>
        </w:rPr>
        <w:t>集中后实体</w:t>
      </w:r>
      <w:r>
        <w:rPr>
          <w:rFonts w:hint="eastAsia" w:eastAsia="仿宋_GB2312" w:cs="仿宋_GB2312"/>
          <w:b/>
          <w:bCs/>
          <w:kern w:val="2"/>
          <w:sz w:val="32"/>
          <w:szCs w:val="32"/>
          <w:lang w:val="en-US" w:eastAsia="zh-CN" w:bidi="ar-SA"/>
        </w:rPr>
        <w:t>在相关市场具有较高市场份额</w:t>
      </w:r>
      <w:r>
        <w:rPr>
          <w:rFonts w:hint="eastAsia" w:ascii="Times New Roman" w:hAnsi="Times New Roman" w:eastAsia="仿宋_GB2312" w:cs="仿宋_GB2312"/>
          <w:b/>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2016年7月集中发生时，</w:t>
      </w:r>
      <w:r>
        <w:rPr>
          <w:rFonts w:hint="default" w:ascii="Times New Roman" w:hAnsi="Times New Roman" w:eastAsia="仿宋_GB2312" w:cs="Times New Roman"/>
          <w:sz w:val="32"/>
          <w:szCs w:val="32"/>
          <w:lang w:eastAsia="zh-CN"/>
        </w:rPr>
        <w:t>腾讯和中国音乐集团的</w:t>
      </w:r>
      <w:r>
        <w:rPr>
          <w:rFonts w:hint="default" w:ascii="Times New Roman" w:hAnsi="Times New Roman" w:eastAsia="仿宋_GB2312" w:cs="Times New Roman"/>
          <w:sz w:val="32"/>
          <w:szCs w:val="32"/>
        </w:rPr>
        <w:t>月活跃用户数</w:t>
      </w:r>
      <w:r>
        <w:rPr>
          <w:rFonts w:hint="eastAsia" w:eastAsia="仿宋_GB2312" w:cs="Times New Roman"/>
          <w:sz w:val="32"/>
          <w:szCs w:val="32"/>
          <w:lang w:eastAsia="zh-CN"/>
        </w:rPr>
        <w:t>分别</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val="en-US" w:eastAsia="zh-CN"/>
        </w:rPr>
        <w:t>1.6亿人、2.3亿人，市场份额分别为33.96%、49.07%；用户月使用时长</w:t>
      </w:r>
      <w:r>
        <w:rPr>
          <w:rFonts w:hint="eastAsia" w:eastAsia="仿宋_GB2312" w:cs="Times New Roman"/>
          <w:sz w:val="32"/>
          <w:szCs w:val="32"/>
          <w:lang w:val="en-US" w:eastAsia="zh-CN"/>
        </w:rPr>
        <w:t>分别为</w:t>
      </w:r>
      <w:r>
        <w:rPr>
          <w:rFonts w:hint="default" w:ascii="Times New Roman" w:hAnsi="Times New Roman" w:eastAsia="仿宋_GB2312" w:cs="Times New Roman"/>
          <w:sz w:val="32"/>
          <w:szCs w:val="32"/>
          <w:lang w:eastAsia="zh-CN"/>
        </w:rPr>
        <w:t>8.05亿小时、6.9</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亿小时，市场份额分别为45.77%、39.65%，</w:t>
      </w:r>
      <w:r>
        <w:rPr>
          <w:rFonts w:hint="default" w:ascii="Times New Roman" w:hAnsi="Times New Roman" w:eastAsia="仿宋_GB2312" w:cs="Times New Roman"/>
          <w:sz w:val="32"/>
          <w:szCs w:val="32"/>
          <w:lang w:val="en-US" w:eastAsia="zh-CN"/>
        </w:rPr>
        <w:t>集中双方均列市场前两位，合计市场份额超过80%。2016年集中双方</w:t>
      </w:r>
      <w:r>
        <w:rPr>
          <w:rFonts w:hint="eastAsia" w:eastAsia="仿宋_GB2312" w:cs="Times New Roman"/>
          <w:sz w:val="32"/>
          <w:szCs w:val="32"/>
          <w:lang w:val="en-US" w:eastAsia="zh-CN"/>
        </w:rPr>
        <w:t>在相关市场的</w:t>
      </w:r>
      <w:r>
        <w:rPr>
          <w:rFonts w:hint="default" w:ascii="Times New Roman" w:hAnsi="Times New Roman" w:eastAsia="仿宋_GB2312" w:cs="Times New Roman"/>
          <w:sz w:val="32"/>
          <w:szCs w:val="32"/>
          <w:lang w:val="en-US" w:eastAsia="zh-CN"/>
        </w:rPr>
        <w:t>销售金额合计</w:t>
      </w:r>
      <w:r>
        <w:rPr>
          <w:rFonts w:hint="eastAsia" w:eastAsia="仿宋_GB2312" w:cs="仿宋_GB2312"/>
          <w:kern w:val="2"/>
          <w:sz w:val="32"/>
          <w:szCs w:val="32"/>
          <w:lang w:val="en-US" w:eastAsia="zh-CN" w:bidi="ar-SA"/>
        </w:rPr>
        <w:t>（略）</w:t>
      </w:r>
      <w:r>
        <w:rPr>
          <w:rFonts w:hint="default" w:ascii="Times New Roman" w:hAnsi="Times New Roman" w:eastAsia="仿宋_GB2312" w:cs="Times New Roman"/>
          <w:sz w:val="32"/>
          <w:szCs w:val="32"/>
          <w:lang w:val="en-US" w:eastAsia="zh-CN"/>
        </w:rPr>
        <w:t>，约占相关市场总收入规模的70%。</w:t>
      </w:r>
      <w:r>
        <w:rPr>
          <w:rFonts w:hint="default" w:ascii="Times New Roman" w:hAnsi="Times New Roman" w:eastAsia="仿宋_GB2312" w:cs="Times New Roman"/>
          <w:b w:val="0"/>
          <w:bCs w:val="0"/>
          <w:sz w:val="32"/>
          <w:szCs w:val="32"/>
          <w:lang w:eastAsia="zh-CN"/>
        </w:rPr>
        <w:t>以音乐版权核心资源占有率计算，</w:t>
      </w:r>
      <w:r>
        <w:rPr>
          <w:rFonts w:hint="default" w:ascii="Times New Roman" w:hAnsi="Times New Roman" w:eastAsia="仿宋_GB2312" w:cs="Times New Roman"/>
          <w:sz w:val="32"/>
          <w:szCs w:val="32"/>
          <w:lang w:eastAsia="zh-CN"/>
        </w:rPr>
        <w:t>腾讯和中国音乐集团的曲库数量分别为</w:t>
      </w:r>
      <w:r>
        <w:rPr>
          <w:rFonts w:hint="default" w:ascii="Times New Roman" w:hAnsi="Times New Roman" w:eastAsia="仿宋_GB2312" w:cs="Times New Roman"/>
          <w:sz w:val="32"/>
          <w:szCs w:val="32"/>
        </w:rPr>
        <w:t>1210万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821</w:t>
      </w:r>
      <w:r>
        <w:rPr>
          <w:rFonts w:hint="default" w:ascii="Times New Roman" w:hAnsi="Times New Roman" w:eastAsia="仿宋_GB2312" w:cs="Times New Roman"/>
          <w:sz w:val="32"/>
          <w:szCs w:val="32"/>
        </w:rPr>
        <w:t>万</w:t>
      </w:r>
      <w:r>
        <w:rPr>
          <w:rFonts w:hint="default" w:ascii="Times New Roman" w:hAnsi="Times New Roman" w:eastAsia="仿宋_GB2312" w:cs="Times New Roman"/>
          <w:sz w:val="32"/>
          <w:szCs w:val="32"/>
          <w:lang w:eastAsia="zh-CN"/>
        </w:rPr>
        <w:t>，其中独家曲库为</w:t>
      </w:r>
      <w:r>
        <w:rPr>
          <w:rFonts w:hint="default" w:ascii="Times New Roman" w:hAnsi="Times New Roman" w:eastAsia="仿宋_GB2312" w:cs="Times New Roman"/>
          <w:sz w:val="32"/>
          <w:szCs w:val="32"/>
        </w:rPr>
        <w:t>314万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130万</w:t>
      </w:r>
      <w:r>
        <w:rPr>
          <w:rFonts w:hint="default" w:ascii="Times New Roman" w:hAnsi="Times New Roman" w:eastAsia="仿宋_GB2312" w:cs="Times New Roman"/>
          <w:sz w:val="32"/>
          <w:szCs w:val="32"/>
          <w:lang w:eastAsia="zh-CN"/>
        </w:rPr>
        <w:t>，曲库和独家资源的市场占有率均超过</w:t>
      </w:r>
      <w:r>
        <w:rPr>
          <w:rFonts w:hint="default" w:ascii="Times New Roman" w:hAnsi="Times New Roman" w:eastAsia="仿宋_GB2312" w:cs="Times New Roman"/>
          <w:sz w:val="32"/>
          <w:szCs w:val="32"/>
          <w:lang w:val="en-US" w:eastAsia="zh-CN"/>
        </w:rPr>
        <w:t>80%。</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ascii="Times New Roman" w:hAnsi="Times New Roman" w:eastAsia="仿宋_GB2312" w:cstheme="minorBidi"/>
          <w:sz w:val="32"/>
          <w:szCs w:val="32"/>
        </w:rPr>
      </w:pPr>
      <w:r>
        <w:rPr>
          <w:rFonts w:hint="eastAsia" w:ascii="Times New Roman" w:hAnsi="Times New Roman" w:eastAsia="仿宋_GB2312" w:cstheme="minorBidi"/>
          <w:sz w:val="32"/>
          <w:szCs w:val="32"/>
          <w:lang w:eastAsia="zh-CN"/>
        </w:rPr>
        <w:t>从</w:t>
      </w:r>
      <w:r>
        <w:rPr>
          <w:rFonts w:hint="eastAsia" w:ascii="Times New Roman" w:hAnsi="Times New Roman" w:eastAsia="仿宋_GB2312" w:cstheme="minorBidi"/>
          <w:sz w:val="32"/>
          <w:szCs w:val="32"/>
        </w:rPr>
        <w:t>该市场赫芬达尔</w:t>
      </w:r>
      <w:r>
        <w:rPr>
          <w:rFonts w:hint="eastAsia" w:ascii="宋体" w:hAnsi="宋体" w:eastAsia="宋体" w:cs="宋体"/>
          <w:sz w:val="32"/>
          <w:szCs w:val="32"/>
        </w:rPr>
        <w:t>－</w:t>
      </w:r>
      <w:r>
        <w:rPr>
          <w:rFonts w:hint="eastAsia" w:ascii="Times New Roman" w:hAnsi="Times New Roman" w:eastAsia="仿宋_GB2312" w:cstheme="minorBidi"/>
          <w:sz w:val="32"/>
          <w:szCs w:val="32"/>
        </w:rPr>
        <w:t>赫希曼指数</w:t>
      </w:r>
      <w:r>
        <w:rPr>
          <w:rFonts w:hint="eastAsia" w:ascii="Times New Roman" w:hAnsi="Times New Roman" w:eastAsia="仿宋_GB2312" w:cstheme="minorBidi"/>
          <w:sz w:val="32"/>
          <w:szCs w:val="32"/>
          <w:lang w:eastAsia="zh-CN"/>
        </w:rPr>
        <w:t>（</w:t>
      </w:r>
      <w:r>
        <w:rPr>
          <w:rFonts w:hint="eastAsia" w:ascii="Times New Roman" w:hAnsi="Times New Roman" w:eastAsia="仿宋_GB2312" w:cstheme="minorBidi"/>
          <w:sz w:val="32"/>
          <w:szCs w:val="32"/>
          <w:lang w:val="en-US" w:eastAsia="zh-CN"/>
        </w:rPr>
        <w:t>HHI指数</w:t>
      </w:r>
      <w:r>
        <w:rPr>
          <w:rFonts w:hint="eastAsia" w:ascii="Times New Roman" w:hAnsi="Times New Roman" w:eastAsia="仿宋_GB2312" w:cstheme="minorBidi"/>
          <w:sz w:val="32"/>
          <w:szCs w:val="32"/>
          <w:lang w:eastAsia="zh-CN"/>
        </w:rPr>
        <w:t>）分析，交易后</w:t>
      </w:r>
      <w:r>
        <w:rPr>
          <w:rFonts w:hint="eastAsia" w:ascii="Times New Roman" w:hAnsi="Times New Roman" w:eastAsia="仿宋_GB2312" w:cstheme="minorBidi"/>
          <w:sz w:val="32"/>
          <w:szCs w:val="32"/>
        </w:rPr>
        <w:t>为6950，</w:t>
      </w:r>
      <w:r>
        <w:rPr>
          <w:rFonts w:hint="eastAsia" w:ascii="Times New Roman" w:hAnsi="Times New Roman" w:eastAsia="仿宋_GB2312" w:cstheme="minorBidi"/>
          <w:sz w:val="32"/>
          <w:szCs w:val="32"/>
          <w:lang w:eastAsia="zh-CN"/>
        </w:rPr>
        <w:t>为高度集中市场，集中产生的增量为3350。</w:t>
      </w:r>
      <w:r>
        <w:rPr>
          <w:rFonts w:hint="eastAsia" w:ascii="Times New Roman" w:hAnsi="Times New Roman" w:eastAsia="仿宋_GB2312" w:cstheme="minorBidi"/>
          <w:sz w:val="32"/>
          <w:szCs w:val="32"/>
        </w:rPr>
        <w:t>交易</w:t>
      </w:r>
      <w:r>
        <w:rPr>
          <w:rFonts w:hint="eastAsia" w:ascii="Times New Roman" w:hAnsi="Times New Roman" w:eastAsia="仿宋_GB2312" w:cstheme="minorBidi"/>
          <w:sz w:val="32"/>
          <w:szCs w:val="32"/>
          <w:lang w:eastAsia="zh-CN"/>
        </w:rPr>
        <w:t>导致</w:t>
      </w:r>
      <w:r>
        <w:rPr>
          <w:rFonts w:hint="eastAsia" w:ascii="Times New Roman" w:hAnsi="Times New Roman" w:eastAsia="仿宋_GB2312" w:cstheme="minorBidi"/>
          <w:sz w:val="32"/>
          <w:szCs w:val="32"/>
        </w:rPr>
        <w:t>相关市场集中度进一步提高，竞争被进一步削弱。</w:t>
      </w:r>
    </w:p>
    <w:p>
      <w:pPr>
        <w:keepNext w:val="0"/>
        <w:keepLines w:val="0"/>
        <w:pageBreakBefore w:val="0"/>
        <w:widowControl w:val="0"/>
        <w:numPr>
          <w:ilvl w:val="0"/>
          <w:numId w:val="2"/>
        </w:numPr>
        <w:kinsoku/>
        <w:wordWrap/>
        <w:overflowPunct/>
        <w:topLinePunct w:val="0"/>
        <w:autoSpaceDE/>
        <w:autoSpaceDN/>
        <w:bidi w:val="0"/>
        <w:adjustRightInd/>
        <w:snapToGrid/>
        <w:spacing w:before="0" w:line="594" w:lineRule="exact"/>
        <w:ind w:left="0" w:leftChars="0" w:firstLine="628" w:firstLineChars="200"/>
        <w:textAlignment w:val="auto"/>
        <w:outlineLvl w:val="9"/>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rPr>
        <w:t>集中</w:t>
      </w:r>
      <w:r>
        <w:rPr>
          <w:rFonts w:hint="eastAsia" w:eastAsia="仿宋_GB2312" w:cs="仿宋_GB2312"/>
          <w:b/>
          <w:sz w:val="32"/>
          <w:szCs w:val="32"/>
          <w:lang w:eastAsia="zh-CN"/>
        </w:rPr>
        <w:t>减少</w:t>
      </w:r>
      <w:r>
        <w:rPr>
          <w:rFonts w:hint="eastAsia" w:ascii="Times New Roman" w:hAnsi="Times New Roman" w:eastAsia="仿宋_GB2312" w:cs="仿宋_GB2312"/>
          <w:b/>
          <w:sz w:val="32"/>
          <w:szCs w:val="32"/>
        </w:rPr>
        <w:t>相关市场主要竞争对手</w:t>
      </w:r>
      <w:r>
        <w:rPr>
          <w:rFonts w:hint="eastAsia" w:ascii="Times New Roman" w:hAnsi="Times New Roman" w:eastAsia="仿宋_GB2312" w:cs="仿宋_GB2312"/>
          <w:b/>
          <w:sz w:val="32"/>
          <w:szCs w:val="32"/>
          <w:lang w:eastAsia="zh-CN"/>
        </w:rPr>
        <w:t>。</w:t>
      </w:r>
    </w:p>
    <w:p>
      <w:pPr>
        <w:pStyle w:val="2"/>
        <w:keepNext w:val="0"/>
        <w:keepLines w:val="0"/>
        <w:pageBreakBefore w:val="0"/>
        <w:widowControl w:val="0"/>
        <w:kinsoku/>
        <w:wordWrap/>
        <w:topLinePunct w:val="0"/>
        <w:bidi w:val="0"/>
        <w:spacing w:after="0" w:line="594" w:lineRule="exact"/>
        <w:ind w:firstLine="628"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调查显示，交易前集中双方居市场前两位，竞争实力相当，彼此竞争较为紧密。根据消费者在替代性平台之间的流向选择显示，腾讯旗下QQ音乐73.6%的用户流向了中国音乐集团旗下的酷狗音乐和酷我音乐，表明如果QQ音乐提高价格或降低服务水平，可能有73.6%的用户流向中国音乐集团旗下平台，双方互为较为紧密竞争者。集中减少相关市场主要竞争对手，进一步削弱市场竞争。</w:t>
      </w:r>
    </w:p>
    <w:p>
      <w:pPr>
        <w:keepNext w:val="0"/>
        <w:keepLines w:val="0"/>
        <w:pageBreakBefore w:val="0"/>
        <w:widowControl w:val="0"/>
        <w:numPr>
          <w:ilvl w:val="0"/>
          <w:numId w:val="2"/>
        </w:numPr>
        <w:kinsoku/>
        <w:wordWrap/>
        <w:overflowPunct/>
        <w:topLinePunct w:val="0"/>
        <w:autoSpaceDE/>
        <w:autoSpaceDN/>
        <w:bidi w:val="0"/>
        <w:adjustRightInd/>
        <w:snapToGrid/>
        <w:spacing w:before="0" w:line="594" w:lineRule="exact"/>
        <w:ind w:left="0" w:leftChars="0" w:firstLine="628" w:firstLineChars="200"/>
        <w:textAlignment w:val="auto"/>
        <w:outlineLvl w:val="9"/>
        <w:rPr>
          <w:rFonts w:hint="eastAsia" w:ascii="Times New Roman" w:hAnsi="Times New Roman" w:eastAsia="仿宋_GB2312" w:cs="仿宋_GB2312"/>
          <w:b/>
          <w:sz w:val="32"/>
          <w:szCs w:val="32"/>
        </w:rPr>
      </w:pPr>
      <w:r>
        <w:rPr>
          <w:rFonts w:hint="eastAsia" w:ascii="Times New Roman" w:hAnsi="Times New Roman" w:eastAsia="仿宋_GB2312" w:cs="仿宋_GB2312"/>
          <w:b/>
          <w:sz w:val="32"/>
          <w:szCs w:val="32"/>
          <w:lang w:eastAsia="zh-CN"/>
        </w:rPr>
        <w:t>集中</w:t>
      </w:r>
      <w:r>
        <w:rPr>
          <w:rFonts w:hint="eastAsia" w:eastAsia="仿宋_GB2312" w:cs="仿宋_GB2312"/>
          <w:b/>
          <w:sz w:val="32"/>
          <w:szCs w:val="32"/>
          <w:lang w:eastAsia="zh-CN"/>
        </w:rPr>
        <w:t>可能</w:t>
      </w:r>
      <w:r>
        <w:rPr>
          <w:rFonts w:hint="eastAsia" w:ascii="Times New Roman" w:hAnsi="Times New Roman" w:eastAsia="仿宋_GB2312" w:cs="仿宋_GB2312"/>
          <w:b/>
          <w:sz w:val="32"/>
          <w:szCs w:val="32"/>
          <w:lang w:eastAsia="zh-CN"/>
        </w:rPr>
        <w:t>进一步提高</w:t>
      </w:r>
      <w:r>
        <w:rPr>
          <w:rFonts w:hint="eastAsia" w:eastAsia="仿宋_GB2312" w:cs="仿宋_GB2312"/>
          <w:b/>
          <w:sz w:val="32"/>
          <w:szCs w:val="32"/>
          <w:lang w:eastAsia="zh-CN"/>
        </w:rPr>
        <w:t>相关</w:t>
      </w:r>
      <w:r>
        <w:rPr>
          <w:rFonts w:hint="eastAsia" w:ascii="Times New Roman" w:hAnsi="Times New Roman" w:eastAsia="仿宋_GB2312" w:cs="仿宋_GB2312"/>
          <w:b/>
          <w:sz w:val="32"/>
          <w:szCs w:val="32"/>
          <w:lang w:eastAsia="zh-CN"/>
        </w:rPr>
        <w:t>市场</w:t>
      </w:r>
      <w:r>
        <w:rPr>
          <w:rFonts w:hint="eastAsia" w:ascii="Times New Roman" w:hAnsi="Times New Roman" w:eastAsia="仿宋_GB2312" w:cs="仿宋_GB2312"/>
          <w:b/>
          <w:sz w:val="32"/>
          <w:szCs w:val="32"/>
        </w:rPr>
        <w:t>进入壁垒。</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ascii="Times New Roman" w:hAnsi="Times New Roman" w:eastAsia="仿宋_GB2312" w:cstheme="minorBidi"/>
          <w:sz w:val="32"/>
          <w:szCs w:val="32"/>
          <w:lang w:eastAsia="zh-CN"/>
        </w:rPr>
      </w:pPr>
      <w:r>
        <w:rPr>
          <w:rFonts w:hint="eastAsia" w:ascii="Times New Roman" w:hAnsi="Times New Roman" w:eastAsia="仿宋_GB2312" w:cs="仿宋_GB2312"/>
          <w:b/>
          <w:sz w:val="32"/>
          <w:szCs w:val="32"/>
          <w:lang w:eastAsia="zh-CN"/>
        </w:rPr>
        <w:t>一是</w:t>
      </w:r>
      <w:r>
        <w:rPr>
          <w:rFonts w:hint="eastAsia" w:eastAsia="仿宋_GB2312" w:cs="仿宋_GB2312"/>
          <w:b/>
          <w:sz w:val="32"/>
          <w:szCs w:val="32"/>
          <w:lang w:eastAsia="zh-CN"/>
        </w:rPr>
        <w:t>可能</w:t>
      </w:r>
      <w:r>
        <w:rPr>
          <w:rFonts w:hint="eastAsia" w:ascii="Times New Roman" w:hAnsi="Times New Roman" w:eastAsia="仿宋_GB2312" w:cs="仿宋_GB2312"/>
          <w:b/>
          <w:sz w:val="32"/>
          <w:szCs w:val="32"/>
          <w:lang w:eastAsia="zh-CN"/>
        </w:rPr>
        <w:t>提高</w:t>
      </w:r>
      <w:r>
        <w:rPr>
          <w:rFonts w:hint="eastAsia" w:ascii="Times New Roman" w:hAnsi="Times New Roman" w:eastAsia="仿宋_GB2312" w:cs="仿宋_GB2312"/>
          <w:b/>
          <w:sz w:val="32"/>
          <w:szCs w:val="32"/>
        </w:rPr>
        <w:t>版权资源壁垒。</w:t>
      </w:r>
      <w:r>
        <w:rPr>
          <w:rFonts w:hint="eastAsia" w:ascii="Times New Roman" w:hAnsi="Times New Roman" w:eastAsia="仿宋_GB2312" w:cs="仿宋_GB2312"/>
          <w:color w:val="000000" w:themeColor="text1"/>
          <w:sz w:val="32"/>
          <w:szCs w:val="32"/>
          <w14:textFill>
            <w14:solidFill>
              <w14:schemeClr w14:val="tx1"/>
            </w14:solidFill>
          </w14:textFill>
        </w:rPr>
        <w:t>在</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集中后实体</w:t>
      </w:r>
      <w:r>
        <w:rPr>
          <w:rFonts w:hint="eastAsia" w:ascii="Times New Roman" w:hAnsi="Times New Roman" w:eastAsia="仿宋_GB2312" w:cs="仿宋_GB2312"/>
          <w:color w:val="000000" w:themeColor="text1"/>
          <w:sz w:val="32"/>
          <w:szCs w:val="32"/>
          <w14:textFill>
            <w14:solidFill>
              <w14:schemeClr w14:val="tx1"/>
            </w14:solidFill>
          </w14:textFill>
        </w:rPr>
        <w:t>锁定</w:t>
      </w:r>
      <w:r>
        <w:rPr>
          <w:rFonts w:hint="eastAsia" w:eastAsia="仿宋_GB2312" w:cs="仿宋_GB2312"/>
          <w:color w:val="000000" w:themeColor="text1"/>
          <w:sz w:val="32"/>
          <w:szCs w:val="32"/>
          <w:lang w:eastAsia="zh-CN"/>
          <w14:textFill>
            <w14:solidFill>
              <w14:schemeClr w14:val="tx1"/>
            </w14:solidFill>
          </w14:textFill>
        </w:rPr>
        <w:t>较多</w:t>
      </w:r>
      <w:r>
        <w:rPr>
          <w:rFonts w:hint="eastAsia" w:ascii="Times New Roman" w:hAnsi="Times New Roman" w:eastAsia="仿宋_GB2312" w:cs="仿宋_GB2312"/>
          <w:color w:val="000000" w:themeColor="text1"/>
          <w:sz w:val="32"/>
          <w:szCs w:val="32"/>
          <w14:textFill>
            <w14:solidFill>
              <w14:schemeClr w14:val="tx1"/>
            </w14:solidFill>
          </w14:textFill>
        </w:rPr>
        <w:t>独家版权资源的情况下，新进入者</w:t>
      </w:r>
      <w:r>
        <w:rPr>
          <w:rFonts w:hint="eastAsia" w:ascii="Times New Roman" w:hAnsi="Times New Roman" w:eastAsia="仿宋_GB2312" w:cs="仿宋_GB2312"/>
          <w:color w:val="000000" w:themeColor="text1"/>
          <w:sz w:val="32"/>
          <w:szCs w:val="32"/>
          <w:lang w:eastAsia="zh-CN"/>
          <w14:textFill>
            <w14:solidFill>
              <w14:schemeClr w14:val="tx1"/>
            </w14:solidFill>
          </w14:textFill>
        </w:rPr>
        <w:t>须</w:t>
      </w:r>
      <w:r>
        <w:rPr>
          <w:rFonts w:hint="eastAsia" w:ascii="Times New Roman" w:hAnsi="Times New Roman" w:eastAsia="仿宋_GB2312" w:cs="仿宋_GB2312"/>
          <w:color w:val="000000" w:themeColor="text1"/>
          <w:sz w:val="32"/>
          <w:szCs w:val="32"/>
          <w14:textFill>
            <w14:solidFill>
              <w14:schemeClr w14:val="tx1"/>
            </w14:solidFill>
          </w14:textFill>
        </w:rPr>
        <w:t>依靠</w:t>
      </w:r>
      <w:r>
        <w:rPr>
          <w:rFonts w:hint="eastAsia" w:ascii="Times New Roman" w:hAnsi="Times New Roman" w:eastAsia="仿宋_GB2312" w:cs="仿宋_GB2312"/>
          <w:color w:val="000000" w:themeColor="text1"/>
          <w:sz w:val="32"/>
          <w:szCs w:val="32"/>
          <w:lang w:eastAsia="zh-CN"/>
          <w14:textFill>
            <w14:solidFill>
              <w14:schemeClr w14:val="tx1"/>
            </w14:solidFill>
          </w14:textFill>
        </w:rPr>
        <w:t>其</w:t>
      </w:r>
      <w:r>
        <w:rPr>
          <w:rFonts w:hint="eastAsia" w:ascii="Times New Roman" w:hAnsi="Times New Roman" w:eastAsia="仿宋_GB2312" w:cs="仿宋_GB2312"/>
          <w:color w:val="000000" w:themeColor="text1"/>
          <w:sz w:val="32"/>
          <w:szCs w:val="32"/>
          <w14:textFill>
            <w14:solidFill>
              <w14:schemeClr w14:val="tx1"/>
            </w14:solidFill>
          </w14:textFill>
        </w:rPr>
        <w:t>转授权</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进入相关市场</w:t>
      </w:r>
      <w:r>
        <w:rPr>
          <w:rFonts w:hint="eastAsia" w:ascii="Times New Roman" w:hAnsi="Times New Roman" w:eastAsia="仿宋_GB2312" w:cs="仿宋_GB2312"/>
          <w:color w:val="000000" w:themeColor="text1"/>
          <w:sz w:val="32"/>
          <w:szCs w:val="32"/>
          <w:lang w:eastAsia="zh-CN"/>
          <w14:textFill>
            <w14:solidFill>
              <w14:schemeClr w14:val="tx1"/>
            </w14:solidFill>
          </w14:textFill>
        </w:rPr>
        <w:t>较</w:t>
      </w:r>
      <w:r>
        <w:rPr>
          <w:rFonts w:hint="eastAsia" w:ascii="Times New Roman" w:hAnsi="Times New Roman" w:eastAsia="仿宋_GB2312" w:cs="仿宋_GB2312"/>
          <w:color w:val="000000" w:themeColor="text1"/>
          <w:sz w:val="32"/>
          <w:szCs w:val="32"/>
          <w14:textFill>
            <w14:solidFill>
              <w14:schemeClr w14:val="tx1"/>
            </w14:solidFill>
          </w14:textFill>
        </w:rPr>
        <w:t>为困难。</w:t>
      </w:r>
      <w:r>
        <w:rPr>
          <w:rFonts w:hint="eastAsia" w:eastAsia="仿宋_GB2312" w:cs="仿宋_GB2312"/>
          <w:color w:val="000000" w:themeColor="text1"/>
          <w:sz w:val="32"/>
          <w:szCs w:val="32"/>
          <w:lang w:eastAsia="zh-CN"/>
          <w14:textFill>
            <w14:solidFill>
              <w14:schemeClr w14:val="tx1"/>
            </w14:solidFill>
          </w14:textFill>
        </w:rPr>
        <w:t>由集中带来的</w:t>
      </w:r>
      <w:r>
        <w:rPr>
          <w:rFonts w:hint="eastAsia" w:ascii="Times New Roman" w:hAnsi="Times New Roman" w:eastAsia="仿宋_GB2312" w:cstheme="minorBidi"/>
          <w:sz w:val="32"/>
          <w:szCs w:val="32"/>
        </w:rPr>
        <w:t>市场规模</w:t>
      </w:r>
      <w:r>
        <w:rPr>
          <w:rFonts w:hint="eastAsia" w:ascii="Times New Roman" w:hAnsi="Times New Roman" w:eastAsia="仿宋_GB2312" w:cstheme="minorBidi"/>
          <w:sz w:val="32"/>
          <w:szCs w:val="32"/>
          <w:lang w:eastAsia="zh-CN"/>
        </w:rPr>
        <w:t>也</w:t>
      </w:r>
      <w:r>
        <w:rPr>
          <w:rFonts w:hint="eastAsia" w:ascii="Times New Roman" w:hAnsi="Times New Roman" w:eastAsia="仿宋_GB2312" w:cstheme="minorBidi"/>
          <w:sz w:val="32"/>
          <w:szCs w:val="32"/>
        </w:rPr>
        <w:t>使其</w:t>
      </w:r>
      <w:r>
        <w:rPr>
          <w:rFonts w:hint="eastAsia" w:eastAsia="仿宋_GB2312" w:cstheme="minorBidi"/>
          <w:sz w:val="32"/>
          <w:szCs w:val="32"/>
          <w:lang w:eastAsia="zh-CN"/>
        </w:rPr>
        <w:t>有能力通过提前支付不可返还的高额预付金等方式向</w:t>
      </w:r>
      <w:r>
        <w:rPr>
          <w:rFonts w:hint="eastAsia" w:ascii="Times New Roman" w:hAnsi="Times New Roman" w:eastAsia="仿宋_GB2312" w:cstheme="minorBidi"/>
          <w:sz w:val="32"/>
          <w:szCs w:val="32"/>
        </w:rPr>
        <w:t>上游</w:t>
      </w:r>
      <w:r>
        <w:rPr>
          <w:rFonts w:hint="eastAsia" w:eastAsia="仿宋_GB2312" w:cstheme="minorBidi"/>
          <w:sz w:val="32"/>
          <w:szCs w:val="32"/>
          <w:lang w:eastAsia="zh-CN"/>
        </w:rPr>
        <w:t>版权方</w:t>
      </w:r>
      <w:r>
        <w:rPr>
          <w:rFonts w:hint="eastAsia" w:ascii="Times New Roman" w:hAnsi="Times New Roman" w:eastAsia="仿宋_GB2312" w:cstheme="minorBidi"/>
          <w:sz w:val="32"/>
          <w:szCs w:val="32"/>
        </w:rPr>
        <w:t>支付版权</w:t>
      </w:r>
      <w:r>
        <w:rPr>
          <w:rFonts w:hint="eastAsia" w:eastAsia="仿宋_GB2312" w:cstheme="minorBidi"/>
          <w:sz w:val="32"/>
          <w:szCs w:val="32"/>
          <w:lang w:eastAsia="zh-CN"/>
        </w:rPr>
        <w:t>费用</w:t>
      </w:r>
      <w:r>
        <w:rPr>
          <w:rFonts w:hint="eastAsia" w:ascii="Times New Roman" w:hAnsi="Times New Roman" w:eastAsia="仿宋_GB2312" w:cstheme="minorBidi"/>
          <w:sz w:val="32"/>
          <w:szCs w:val="32"/>
        </w:rPr>
        <w:t>，</w:t>
      </w:r>
      <w:r>
        <w:rPr>
          <w:rFonts w:hint="eastAsia" w:eastAsia="仿宋_GB2312" w:cstheme="minorBidi"/>
          <w:sz w:val="32"/>
          <w:szCs w:val="32"/>
          <w:lang w:eastAsia="zh-CN"/>
        </w:rPr>
        <w:t>可能进一步</w:t>
      </w:r>
      <w:r>
        <w:rPr>
          <w:rFonts w:hint="eastAsia" w:ascii="Times New Roman" w:hAnsi="Times New Roman" w:eastAsia="仿宋_GB2312" w:cstheme="minorBidi"/>
          <w:sz w:val="32"/>
          <w:szCs w:val="32"/>
          <w:lang w:eastAsia="zh-CN"/>
        </w:rPr>
        <w:t>提高市场进入壁垒。</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eastAsia="仿宋_GB2312" w:cstheme="minorBidi"/>
          <w:b w:val="0"/>
          <w:bCs/>
          <w:sz w:val="32"/>
          <w:szCs w:val="32"/>
          <w:lang w:eastAsia="zh-CN"/>
        </w:rPr>
      </w:pPr>
      <w:r>
        <w:rPr>
          <w:rFonts w:hint="eastAsia" w:ascii="Times New Roman" w:hAnsi="Times New Roman" w:eastAsia="仿宋_GB2312" w:cstheme="minorBidi"/>
          <w:b/>
          <w:sz w:val="32"/>
          <w:szCs w:val="32"/>
          <w:lang w:eastAsia="zh-CN"/>
        </w:rPr>
        <w:t>二是</w:t>
      </w:r>
      <w:r>
        <w:rPr>
          <w:rFonts w:hint="eastAsia" w:eastAsia="仿宋_GB2312" w:cstheme="minorBidi"/>
          <w:b/>
          <w:sz w:val="32"/>
          <w:szCs w:val="32"/>
          <w:lang w:eastAsia="zh-CN"/>
        </w:rPr>
        <w:t>可能</w:t>
      </w:r>
      <w:r>
        <w:rPr>
          <w:rFonts w:hint="eastAsia" w:ascii="Times New Roman" w:hAnsi="Times New Roman" w:eastAsia="仿宋_GB2312" w:cs="仿宋_GB2312"/>
          <w:b/>
          <w:sz w:val="32"/>
          <w:szCs w:val="32"/>
          <w:lang w:eastAsia="zh-CN"/>
        </w:rPr>
        <w:t>增加</w:t>
      </w:r>
      <w:r>
        <w:rPr>
          <w:rFonts w:hint="eastAsia" w:ascii="Times New Roman" w:hAnsi="Times New Roman" w:eastAsia="仿宋_GB2312" w:cstheme="minorBidi"/>
          <w:b/>
          <w:sz w:val="32"/>
          <w:szCs w:val="32"/>
        </w:rPr>
        <w:t>用户转换成本。</w:t>
      </w:r>
      <w:r>
        <w:rPr>
          <w:rFonts w:hint="eastAsia" w:ascii="Times New Roman" w:hAnsi="Times New Roman" w:eastAsia="仿宋_GB2312" w:cstheme="minorBidi"/>
          <w:b w:val="0"/>
          <w:bCs/>
          <w:sz w:val="32"/>
          <w:szCs w:val="32"/>
        </w:rPr>
        <w:t>集中</w:t>
      </w:r>
      <w:r>
        <w:rPr>
          <w:rFonts w:hint="eastAsia" w:ascii="Times New Roman" w:hAnsi="Times New Roman" w:eastAsia="仿宋_GB2312" w:cstheme="minorBidi"/>
          <w:b w:val="0"/>
          <w:bCs/>
          <w:sz w:val="32"/>
          <w:szCs w:val="32"/>
          <w:lang w:eastAsia="zh-CN"/>
        </w:rPr>
        <w:t>为腾讯</w:t>
      </w:r>
      <w:r>
        <w:rPr>
          <w:rFonts w:hint="eastAsia" w:ascii="Times New Roman" w:hAnsi="Times New Roman" w:eastAsia="仿宋_GB2312" w:cstheme="minorBidi"/>
          <w:b w:val="0"/>
          <w:bCs/>
          <w:sz w:val="32"/>
          <w:szCs w:val="32"/>
        </w:rPr>
        <w:t>带来</w:t>
      </w:r>
      <w:r>
        <w:rPr>
          <w:rFonts w:hint="eastAsia" w:eastAsia="仿宋_GB2312" w:cstheme="minorBidi"/>
          <w:b w:val="0"/>
          <w:bCs/>
          <w:sz w:val="32"/>
          <w:szCs w:val="32"/>
          <w:lang w:eastAsia="zh-CN"/>
        </w:rPr>
        <w:t>较为</w:t>
      </w:r>
      <w:r>
        <w:rPr>
          <w:rFonts w:hint="eastAsia" w:ascii="Times New Roman" w:hAnsi="Times New Roman" w:eastAsia="仿宋_GB2312" w:cstheme="minorBidi"/>
          <w:b w:val="0"/>
          <w:bCs/>
          <w:sz w:val="32"/>
          <w:szCs w:val="32"/>
        </w:rPr>
        <w:t>丰富的曲库资源</w:t>
      </w:r>
      <w:r>
        <w:rPr>
          <w:rFonts w:hint="eastAsia" w:ascii="Times New Roman" w:hAnsi="Times New Roman" w:eastAsia="仿宋_GB2312" w:cstheme="minorBidi"/>
          <w:b w:val="0"/>
          <w:bCs/>
          <w:sz w:val="32"/>
          <w:szCs w:val="32"/>
          <w:lang w:eastAsia="zh-CN"/>
        </w:rPr>
        <w:t>、较大的</w:t>
      </w:r>
      <w:r>
        <w:rPr>
          <w:rFonts w:hint="eastAsia" w:ascii="Times New Roman" w:hAnsi="Times New Roman" w:eastAsia="仿宋_GB2312" w:cstheme="minorBidi"/>
          <w:b w:val="0"/>
          <w:bCs/>
          <w:sz w:val="32"/>
          <w:szCs w:val="32"/>
        </w:rPr>
        <w:t>用户规模</w:t>
      </w:r>
      <w:r>
        <w:rPr>
          <w:rFonts w:hint="eastAsia" w:ascii="Times New Roman" w:hAnsi="Times New Roman" w:eastAsia="仿宋_GB2312" w:cstheme="minorBidi"/>
          <w:b w:val="0"/>
          <w:bCs/>
          <w:sz w:val="32"/>
          <w:szCs w:val="32"/>
          <w:lang w:eastAsia="zh-CN"/>
        </w:rPr>
        <w:t>及充足的使用数据</w:t>
      </w:r>
      <w:r>
        <w:rPr>
          <w:rFonts w:hint="eastAsia" w:ascii="Times New Roman" w:hAnsi="Times New Roman" w:eastAsia="仿宋_GB2312" w:cstheme="minorBidi"/>
          <w:b w:val="0"/>
          <w:bCs/>
          <w:sz w:val="32"/>
          <w:szCs w:val="32"/>
        </w:rPr>
        <w:t>，</w:t>
      </w:r>
      <w:r>
        <w:rPr>
          <w:rFonts w:hint="eastAsia" w:ascii="Times New Roman" w:hAnsi="Times New Roman" w:eastAsia="仿宋_GB2312" w:cstheme="minorBidi"/>
          <w:b w:val="0"/>
          <w:bCs/>
          <w:sz w:val="32"/>
          <w:szCs w:val="32"/>
          <w:lang w:eastAsia="zh-CN"/>
        </w:rPr>
        <w:t>相比新进入平台更能推荐</w:t>
      </w:r>
      <w:r>
        <w:rPr>
          <w:rFonts w:hint="eastAsia" w:ascii="Times New Roman" w:hAnsi="Times New Roman" w:eastAsia="仿宋_GB2312" w:cstheme="minorBidi"/>
          <w:b w:val="0"/>
          <w:bCs/>
          <w:sz w:val="32"/>
          <w:szCs w:val="32"/>
        </w:rPr>
        <w:t>符合消费者偏好</w:t>
      </w:r>
      <w:r>
        <w:rPr>
          <w:rFonts w:hint="eastAsia" w:ascii="Times New Roman" w:hAnsi="Times New Roman" w:eastAsia="仿宋_GB2312" w:cstheme="minorBidi"/>
          <w:b w:val="0"/>
          <w:bCs/>
          <w:sz w:val="32"/>
          <w:szCs w:val="32"/>
          <w:lang w:eastAsia="zh-CN"/>
        </w:rPr>
        <w:t>的歌曲，</w:t>
      </w:r>
      <w:r>
        <w:rPr>
          <w:rFonts w:hint="eastAsia" w:ascii="Times New Roman" w:hAnsi="Times New Roman" w:eastAsia="仿宋_GB2312" w:cstheme="minorBidi"/>
          <w:b w:val="0"/>
          <w:bCs/>
          <w:sz w:val="32"/>
          <w:szCs w:val="32"/>
        </w:rPr>
        <w:t>导致用户转换平台意愿降低</w:t>
      </w:r>
      <w:r>
        <w:rPr>
          <w:rFonts w:hint="eastAsia" w:eastAsia="仿宋_GB2312" w:cstheme="minorBidi"/>
          <w:b w:val="0"/>
          <w:bCs/>
          <w:sz w:val="32"/>
          <w:szCs w:val="32"/>
          <w:lang w:eastAsia="zh-CN"/>
        </w:rPr>
        <w:t>，从而进一步扩大用户规模，可能阻止其他竞争者达到或维持临界规模。</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ascii="Times New Roman" w:hAnsi="Times New Roman" w:eastAsia="仿宋_GB2312" w:cstheme="minorBidi"/>
          <w:b/>
          <w:sz w:val="32"/>
          <w:szCs w:val="32"/>
        </w:rPr>
      </w:pPr>
      <w:r>
        <w:rPr>
          <w:rFonts w:hint="eastAsia" w:ascii="Times New Roman" w:hAnsi="Times New Roman" w:eastAsia="仿宋_GB2312" w:cstheme="minorBidi"/>
          <w:b/>
          <w:sz w:val="32"/>
          <w:szCs w:val="32"/>
          <w:lang w:eastAsia="zh-CN"/>
        </w:rPr>
        <w:t>三是集中后市场进入</w:t>
      </w:r>
      <w:r>
        <w:rPr>
          <w:rFonts w:hint="eastAsia" w:ascii="Times New Roman" w:hAnsi="Times New Roman" w:eastAsia="仿宋_GB2312" w:cstheme="minorBidi"/>
          <w:b/>
          <w:sz w:val="32"/>
          <w:szCs w:val="32"/>
        </w:rPr>
        <w:t>活跃</w:t>
      </w:r>
      <w:r>
        <w:rPr>
          <w:rFonts w:hint="eastAsia" w:ascii="Times New Roman" w:hAnsi="Times New Roman" w:eastAsia="仿宋_GB2312" w:cstheme="minorBidi"/>
          <w:b/>
          <w:sz w:val="32"/>
          <w:szCs w:val="32"/>
          <w:lang w:eastAsia="zh-CN"/>
        </w:rPr>
        <w:t>度不高</w:t>
      </w:r>
      <w:r>
        <w:rPr>
          <w:rFonts w:hint="eastAsia" w:ascii="Times New Roman" w:hAnsi="Times New Roman" w:eastAsia="仿宋_GB2312" w:cstheme="minorBidi"/>
          <w:b/>
          <w:sz w:val="32"/>
          <w:szCs w:val="32"/>
        </w:rPr>
        <w:t>。</w:t>
      </w:r>
      <w:r>
        <w:rPr>
          <w:rFonts w:hint="eastAsia" w:ascii="Times New Roman" w:hAnsi="Times New Roman" w:eastAsia="仿宋_GB2312" w:cstheme="minorBidi"/>
          <w:b w:val="0"/>
          <w:bCs/>
          <w:sz w:val="32"/>
          <w:szCs w:val="32"/>
          <w:lang w:eastAsia="zh-CN"/>
        </w:rPr>
        <w:t>数据显示，网络音乐播放平台市场的主要进入发生在2016年初至2017年</w:t>
      </w:r>
      <w:r>
        <w:rPr>
          <w:rFonts w:hint="eastAsia" w:eastAsia="仿宋_GB2312" w:cstheme="minorBidi"/>
          <w:b w:val="0"/>
          <w:bCs/>
          <w:sz w:val="32"/>
          <w:szCs w:val="32"/>
          <w:lang w:val="en-US" w:eastAsia="zh-CN"/>
        </w:rPr>
        <w:t>7</w:t>
      </w:r>
      <w:r>
        <w:rPr>
          <w:rFonts w:hint="eastAsia" w:ascii="Times New Roman" w:hAnsi="Times New Roman" w:eastAsia="仿宋_GB2312" w:cstheme="minorBidi"/>
          <w:b w:val="0"/>
          <w:bCs/>
          <w:sz w:val="32"/>
          <w:szCs w:val="32"/>
          <w:lang w:eastAsia="zh-CN"/>
        </w:rPr>
        <w:t>月，</w:t>
      </w:r>
      <w:r>
        <w:rPr>
          <w:rFonts w:hint="eastAsia" w:ascii="Times New Roman" w:hAnsi="Times New Roman" w:eastAsia="仿宋_GB2312" w:cstheme="minorBidi"/>
          <w:b w:val="0"/>
          <w:bCs/>
          <w:sz w:val="32"/>
          <w:szCs w:val="32"/>
          <w:lang w:val="en-US" w:eastAsia="zh-CN"/>
        </w:rPr>
        <w:t>2017年底</w:t>
      </w:r>
      <w:r>
        <w:rPr>
          <w:rFonts w:hint="eastAsia" w:ascii="Times New Roman" w:hAnsi="Times New Roman" w:eastAsia="仿宋_GB2312" w:cstheme="minorBidi"/>
          <w:b w:val="0"/>
          <w:bCs/>
          <w:sz w:val="32"/>
          <w:szCs w:val="32"/>
        </w:rPr>
        <w:t>集中完成后</w:t>
      </w:r>
      <w:r>
        <w:rPr>
          <w:rFonts w:hint="eastAsia" w:ascii="Times New Roman" w:hAnsi="Times New Roman" w:eastAsia="仿宋_GB2312" w:cstheme="minorBidi"/>
          <w:b w:val="0"/>
          <w:bCs/>
          <w:sz w:val="32"/>
          <w:szCs w:val="32"/>
          <w:lang w:eastAsia="zh-CN"/>
        </w:rPr>
        <w:t>，该</w:t>
      </w:r>
      <w:r>
        <w:rPr>
          <w:rFonts w:hint="eastAsia" w:ascii="Times New Roman" w:hAnsi="Times New Roman" w:eastAsia="仿宋_GB2312" w:cstheme="minorBidi"/>
          <w:b w:val="0"/>
          <w:bCs/>
          <w:sz w:val="32"/>
          <w:szCs w:val="32"/>
        </w:rPr>
        <w:t>市场</w:t>
      </w:r>
      <w:r>
        <w:rPr>
          <w:rFonts w:hint="eastAsia" w:ascii="Times New Roman" w:hAnsi="Times New Roman" w:eastAsia="仿宋_GB2312" w:cstheme="minorBidi"/>
          <w:b w:val="0"/>
          <w:bCs/>
          <w:sz w:val="32"/>
          <w:szCs w:val="32"/>
          <w:lang w:eastAsia="zh-CN"/>
        </w:rPr>
        <w:t>进入活跃度下降</w:t>
      </w:r>
      <w:r>
        <w:rPr>
          <w:rFonts w:hint="eastAsia" w:eastAsia="仿宋_GB2312" w:cstheme="minorBidi"/>
          <w:b w:val="0"/>
          <w:bCs/>
          <w:sz w:val="32"/>
          <w:szCs w:val="32"/>
          <w:lang w:eastAsia="zh-CN"/>
        </w:rPr>
        <w:t>较</w:t>
      </w:r>
      <w:r>
        <w:rPr>
          <w:rFonts w:hint="eastAsia" w:ascii="Times New Roman" w:hAnsi="Times New Roman" w:eastAsia="仿宋_GB2312" w:cstheme="minorBidi"/>
          <w:b w:val="0"/>
          <w:bCs/>
          <w:sz w:val="32"/>
          <w:szCs w:val="32"/>
          <w:lang w:eastAsia="zh-CN"/>
        </w:rPr>
        <w:t>明显。</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eastAsia="仿宋_GB2312" w:cs="仿宋_GB2312"/>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color w:val="000000" w:themeColor="text1"/>
          <w:sz w:val="32"/>
          <w:szCs w:val="32"/>
          <w:lang w:val="en-US" w:eastAsia="zh-CN"/>
          <w14:textFill>
            <w14:solidFill>
              <w14:schemeClr w14:val="tx1"/>
            </w14:solidFill>
          </w14:textFill>
        </w:rPr>
        <w:t>综上，腾讯通过本项集中</w:t>
      </w:r>
      <w:r>
        <w:rPr>
          <w:rFonts w:hint="eastAsia" w:eastAsia="仿宋_GB2312" w:cs="仿宋_GB2312"/>
          <w:b w:val="0"/>
          <w:bCs/>
          <w:color w:val="000000" w:themeColor="text1"/>
          <w:sz w:val="32"/>
          <w:szCs w:val="32"/>
          <w:lang w:val="en-US" w:eastAsia="zh-CN"/>
          <w14:textFill>
            <w14:solidFill>
              <w14:schemeClr w14:val="tx1"/>
            </w14:solidFill>
          </w14:textFill>
        </w:rPr>
        <w:t>在中国境内</w:t>
      </w:r>
      <w:r>
        <w:rPr>
          <w:rFonts w:hint="eastAsia" w:ascii="Times New Roman" w:hAnsi="Times New Roman" w:eastAsia="仿宋_GB2312" w:cs="仿宋_GB2312"/>
          <w:b w:val="0"/>
          <w:bCs/>
          <w:color w:val="000000" w:themeColor="text1"/>
          <w:sz w:val="32"/>
          <w:szCs w:val="32"/>
          <w:lang w:val="en-US" w:eastAsia="zh-CN"/>
          <w14:textFill>
            <w14:solidFill>
              <w14:schemeClr w14:val="tx1"/>
            </w14:solidFill>
          </w14:textFill>
        </w:rPr>
        <w:t>网络音乐播放平台</w:t>
      </w:r>
      <w:r>
        <w:rPr>
          <w:rFonts w:hint="eastAsia" w:eastAsia="仿宋_GB2312" w:cs="仿宋_GB2312"/>
          <w:b w:val="0"/>
          <w:bCs/>
          <w:color w:val="000000" w:themeColor="text1"/>
          <w:sz w:val="32"/>
          <w:szCs w:val="32"/>
          <w:lang w:val="en-US" w:eastAsia="zh-CN"/>
          <w14:textFill>
            <w14:solidFill>
              <w14:schemeClr w14:val="tx1"/>
            </w14:solidFill>
          </w14:textFill>
        </w:rPr>
        <w:t>市场具有较高市场份额</w:t>
      </w:r>
      <w:r>
        <w:rPr>
          <w:rFonts w:hint="eastAsia" w:ascii="Times New Roman" w:hAnsi="Times New Roman" w:eastAsia="仿宋_GB2312" w:cs="仿宋_GB2312"/>
          <w:b w:val="0"/>
          <w:bCs/>
          <w:color w:val="000000" w:themeColor="text1"/>
          <w:sz w:val="32"/>
          <w:szCs w:val="32"/>
          <w:lang w:val="en-US" w:eastAsia="zh-CN"/>
          <w14:textFill>
            <w14:solidFill>
              <w14:schemeClr w14:val="tx1"/>
            </w14:solidFill>
          </w14:textFill>
        </w:rPr>
        <w:t>，</w:t>
      </w:r>
      <w:r>
        <w:rPr>
          <w:rFonts w:hint="eastAsia" w:eastAsia="仿宋_GB2312" w:cs="仿宋_GB2312"/>
          <w:b w:val="0"/>
          <w:bCs/>
          <w:color w:val="000000" w:themeColor="text1"/>
          <w:sz w:val="32"/>
          <w:szCs w:val="32"/>
          <w:lang w:val="en-US" w:eastAsia="zh-CN"/>
          <w14:textFill>
            <w14:solidFill>
              <w14:schemeClr w14:val="tx1"/>
            </w14:solidFill>
          </w14:textFill>
        </w:rPr>
        <w:t>可能</w:t>
      </w:r>
      <w:r>
        <w:rPr>
          <w:rFonts w:hint="eastAsia" w:ascii="Times New Roman" w:hAnsi="Times New Roman" w:eastAsia="仿宋_GB2312" w:cs="仿宋_GB2312"/>
          <w:b w:val="0"/>
          <w:bCs/>
          <w:color w:val="000000" w:themeColor="text1"/>
          <w:sz w:val="32"/>
          <w:szCs w:val="32"/>
          <w:lang w:val="en-US" w:eastAsia="zh-CN"/>
          <w14:textFill>
            <w14:solidFill>
              <w14:schemeClr w14:val="tx1"/>
            </w14:solidFill>
          </w14:textFill>
        </w:rPr>
        <w:t>使</w:t>
      </w:r>
      <w:r>
        <w:rPr>
          <w:rFonts w:hint="eastAsia" w:eastAsia="仿宋_GB2312" w:cs="仿宋_GB2312"/>
          <w:b w:val="0"/>
          <w:bCs/>
          <w:color w:val="000000" w:themeColor="text1"/>
          <w:sz w:val="32"/>
          <w:szCs w:val="32"/>
          <w:lang w:val="en-US" w:eastAsia="zh-CN"/>
          <w14:textFill>
            <w14:solidFill>
              <w14:schemeClr w14:val="tx1"/>
            </w14:solidFill>
          </w14:textFill>
        </w:rPr>
        <w:t>其有能力促使</w:t>
      </w:r>
      <w:r>
        <w:rPr>
          <w:rFonts w:hint="eastAsia" w:ascii="Times New Roman" w:hAnsi="Times New Roman" w:eastAsia="仿宋_GB2312" w:cs="仿宋_GB2312"/>
          <w:b w:val="0"/>
          <w:bCs/>
          <w:color w:val="000000" w:themeColor="text1"/>
          <w:sz w:val="32"/>
          <w:szCs w:val="32"/>
          <w:lang w:val="en-US" w:eastAsia="zh-CN"/>
          <w14:textFill>
            <w14:solidFill>
              <w14:schemeClr w14:val="tx1"/>
            </w14:solidFill>
          </w14:textFill>
        </w:rPr>
        <w:t>上游</w:t>
      </w:r>
      <w:r>
        <w:rPr>
          <w:rFonts w:hint="eastAsia" w:eastAsia="仿宋_GB2312" w:cs="仿宋_GB2312"/>
          <w:b w:val="0"/>
          <w:bCs/>
          <w:color w:val="000000" w:themeColor="text1"/>
          <w:sz w:val="32"/>
          <w:szCs w:val="32"/>
          <w:lang w:val="en-US" w:eastAsia="zh-CN"/>
          <w14:textFill>
            <w14:solidFill>
              <w14:schemeClr w14:val="tx1"/>
            </w14:solidFill>
          </w14:textFill>
        </w:rPr>
        <w:t>版权方对其</w:t>
      </w:r>
      <w:r>
        <w:rPr>
          <w:rFonts w:hint="eastAsia" w:ascii="Times New Roman" w:hAnsi="Times New Roman" w:eastAsia="仿宋_GB2312" w:cs="仿宋_GB2312"/>
          <w:b w:val="0"/>
          <w:bCs/>
          <w:color w:val="000000" w:themeColor="text1"/>
          <w:sz w:val="32"/>
          <w:szCs w:val="32"/>
          <w:lang w:val="en-US" w:eastAsia="zh-CN"/>
          <w14:textFill>
            <w14:solidFill>
              <w14:schemeClr w14:val="tx1"/>
            </w14:solidFill>
          </w14:textFill>
        </w:rPr>
        <w:t>进行独家版权授权，</w:t>
      </w:r>
      <w:r>
        <w:rPr>
          <w:rFonts w:hint="eastAsia" w:eastAsia="仿宋_GB2312" w:cs="仿宋_GB2312"/>
          <w:b w:val="0"/>
          <w:bCs/>
          <w:color w:val="000000" w:themeColor="text1"/>
          <w:sz w:val="32"/>
          <w:szCs w:val="32"/>
          <w:lang w:val="en-US" w:eastAsia="zh-CN"/>
          <w14:textFill>
            <w14:solidFill>
              <w14:schemeClr w14:val="tx1"/>
            </w14:solidFill>
          </w14:textFill>
        </w:rPr>
        <w:t>或者向其提供优于竞争对手的条件，也可能使腾讯有能力通过支付高额预付金等方式</w:t>
      </w:r>
      <w:r>
        <w:rPr>
          <w:rFonts w:hint="eastAsia" w:ascii="Times New Roman" w:hAnsi="Times New Roman" w:eastAsia="仿宋_GB2312" w:cs="仿宋_GB2312"/>
          <w:b w:val="0"/>
          <w:bCs/>
          <w:color w:val="000000" w:themeColor="text1"/>
          <w:sz w:val="32"/>
          <w:szCs w:val="32"/>
          <w:lang w:val="en-US" w:eastAsia="zh-CN"/>
          <w14:textFill>
            <w14:solidFill>
              <w14:schemeClr w14:val="tx1"/>
            </w14:solidFill>
          </w14:textFill>
        </w:rPr>
        <w:t>提高市场进入壁垒</w:t>
      </w:r>
      <w:r>
        <w:rPr>
          <w:rFonts w:hint="eastAsia" w:eastAsia="仿宋_GB2312" w:cs="仿宋_GB2312"/>
          <w:b w:val="0"/>
          <w:bCs/>
          <w:color w:val="000000" w:themeColor="text1"/>
          <w:sz w:val="32"/>
          <w:szCs w:val="32"/>
          <w:lang w:val="en-US" w:eastAsia="zh-CN"/>
          <w14:textFill>
            <w14:solidFill>
              <w14:schemeClr w14:val="tx1"/>
            </w14:solidFill>
          </w14:textFill>
        </w:rPr>
        <w:t>，对相关市场具有或者可能具有排除、限制竞争的效果。</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rPr>
          <w:rFonts w:hint="eastAsia" w:ascii="Times New Roman" w:hAnsi="Times New Roman" w:eastAsia="仿宋_GB2312" w:cs="仿宋_GB2312"/>
          <w:b w:val="0"/>
          <w:bCs/>
          <w:color w:val="000000" w:themeColor="text1"/>
          <w:sz w:val="32"/>
          <w:szCs w:val="32"/>
          <w:lang w:val="en-US" w:eastAsia="zh-CN"/>
          <w14:textFill>
            <w14:solidFill>
              <w14:schemeClr w14:val="tx1"/>
            </w14:solidFill>
          </w14:textFill>
        </w:rPr>
      </w:pPr>
      <w:r>
        <w:rPr>
          <w:rFonts w:hint="eastAsia" w:eastAsia="仿宋_GB2312" w:cs="仿宋_GB2312"/>
          <w:b w:val="0"/>
          <w:bCs/>
          <w:color w:val="000000" w:themeColor="text1"/>
          <w:sz w:val="32"/>
          <w:szCs w:val="32"/>
          <w:lang w:val="en-US" w:eastAsia="zh-CN"/>
          <w14:textFill>
            <w14:solidFill>
              <w14:schemeClr w14:val="tx1"/>
            </w14:solidFill>
          </w14:textFill>
        </w:rPr>
        <w:t>调查同时发现，中国网络音乐播放平台市场发展较为迅速，腾讯主要竞争对手（略）的市场份额也呈现较快速度增长，由集中发生时的不足6%增长至近18%，增长200%左右，说明竞争对手对其竞争约束有增强的趋势。此外，网络音乐播放平台与其他平台之间近年来呈现出一定的动态竞争和跨界融合趋势，一些拥有广泛用户基础的短视频平台，如果再获得足够数量的音乐版权资源，在未来有可能成为相关市场的竞争者。</w:t>
      </w:r>
    </w:p>
    <w:p>
      <w:pPr>
        <w:pStyle w:val="2"/>
        <w:keepNext w:val="0"/>
        <w:keepLines w:val="0"/>
        <w:pageBreakBefore w:val="0"/>
        <w:widowControl w:val="0"/>
        <w:kinsoku/>
        <w:wordWrap/>
        <w:topLinePunct w:val="0"/>
        <w:bidi w:val="0"/>
        <w:spacing w:after="0" w:line="594" w:lineRule="exact"/>
        <w:ind w:firstLine="628" w:firstLineChars="200"/>
        <w:textAlignment w:val="auto"/>
        <w:rPr>
          <w:rFonts w:hint="default" w:ascii="Times New Roman" w:hAnsi="Times New Roman" w:eastAsia="仿宋_GB2312" w:cs="仿宋_GB2312"/>
          <w:b w:val="0"/>
          <w:bCs/>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color w:val="000000" w:themeColor="text1"/>
          <w:sz w:val="32"/>
          <w:szCs w:val="32"/>
          <w:lang w:val="en-US" w:eastAsia="zh-CN"/>
          <w14:textFill>
            <w14:solidFill>
              <w14:schemeClr w14:val="tx1"/>
            </w14:solidFill>
          </w14:textFill>
        </w:rPr>
        <w:t xml:space="preserve">以上事实，有第三方机构统计数据和行业分析报告、《问卷调查报告》、《经济学分析报告》、腾讯和相关方提供的《授权协议》和《转授权协议》、行业主管部门等相关方的回复意见等证据证明。  </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16"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16" w:firstLineChars="196"/>
        <w:textAlignment w:val="auto"/>
        <w:rPr>
          <w:rFonts w:hint="eastAsia"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基于上述调查情况和评估结论，本机关</w:t>
      </w:r>
      <w:r>
        <w:rPr>
          <w:rFonts w:hint="eastAsia" w:eastAsia="仿宋_GB2312" w:cs="Times New Roman"/>
          <w:bCs/>
          <w:color w:val="000000"/>
          <w:kern w:val="2"/>
          <w:sz w:val="32"/>
          <w:szCs w:val="32"/>
          <w:lang w:eastAsia="zh-CN"/>
        </w:rPr>
        <w:t>对</w:t>
      </w:r>
      <w:r>
        <w:rPr>
          <w:rFonts w:hint="default" w:ascii="Times New Roman" w:hAnsi="Times New Roman" w:eastAsia="仿宋_GB2312" w:cs="Times New Roman"/>
          <w:bCs/>
          <w:color w:val="000000"/>
          <w:kern w:val="2"/>
          <w:sz w:val="32"/>
          <w:szCs w:val="32"/>
          <w:lang w:eastAsia="zh-CN"/>
        </w:rPr>
        <w:t>腾讯</w:t>
      </w:r>
      <w:r>
        <w:rPr>
          <w:rFonts w:hint="eastAsia" w:eastAsia="仿宋_GB2312" w:cs="Times New Roman"/>
          <w:bCs/>
          <w:color w:val="000000"/>
          <w:kern w:val="2"/>
          <w:sz w:val="32"/>
          <w:szCs w:val="32"/>
          <w:lang w:eastAsia="zh-CN"/>
        </w:rPr>
        <w:t>作出如下处理决定：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jc w:val="both"/>
        <w:textAlignment w:val="auto"/>
        <w:outlineLvl w:val="9"/>
        <w:rPr>
          <w:rFonts w:hint="eastAsia" w:eastAsia="楷体_GB2312" w:cs="楷体_GB2312"/>
          <w:b/>
          <w:bCs/>
          <w:kern w:val="2"/>
          <w:sz w:val="32"/>
          <w:szCs w:val="32"/>
          <w:lang w:val="en-US" w:eastAsia="zh-CN" w:bidi="ar-SA"/>
        </w:rPr>
      </w:pPr>
      <w:r>
        <w:rPr>
          <w:rFonts w:hint="eastAsia" w:eastAsia="楷体_GB2312" w:cs="楷体_GB2312"/>
          <w:b/>
          <w:bCs/>
          <w:kern w:val="2"/>
          <w:sz w:val="32"/>
          <w:szCs w:val="32"/>
          <w:lang w:val="en-US" w:eastAsia="zh-CN" w:bidi="ar-SA"/>
        </w:rPr>
        <w:t>（一）责令腾讯及其关联公司采取以下措施恢复相关市场竞争状态：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不得与上游版权方达成或变相达成独家版权协议（版权范围包括所有音乐作品及录音</w:t>
      </w:r>
      <w:r>
        <w:rPr>
          <w:rFonts w:hint="eastAsia" w:eastAsia="仿宋_GB2312" w:cs="Times New Roman"/>
          <w:b w:val="0"/>
          <w:bCs w:val="0"/>
          <w:kern w:val="2"/>
          <w:sz w:val="32"/>
          <w:szCs w:val="32"/>
          <w:lang w:val="en-US" w:eastAsia="zh-CN" w:bidi="ar-SA"/>
        </w:rPr>
        <w:t>制</w:t>
      </w:r>
      <w:r>
        <w:rPr>
          <w:rFonts w:hint="default" w:ascii="Times New Roman" w:hAnsi="Times New Roman" w:eastAsia="仿宋_GB2312" w:cs="Times New Roman"/>
          <w:b w:val="0"/>
          <w:bCs w:val="0"/>
          <w:kern w:val="2"/>
          <w:sz w:val="32"/>
          <w:szCs w:val="32"/>
          <w:lang w:val="en-US" w:eastAsia="zh-CN" w:bidi="ar-SA"/>
        </w:rPr>
        <w:t>品的信息网络传播权）或其他排他性协议，已经达成的，须在本决定发布之日起三十日内解除</w:t>
      </w:r>
      <w:r>
        <w:rPr>
          <w:rFonts w:hint="eastAsia"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与独立音乐人（是指音乐作品或录音制品的原始权利人，并以个人名义与音乐平台进行版权授权，且从未与任何唱片公司或经纪公司签订协议的自然人）或新歌首发的独家合作除外</w:t>
      </w:r>
      <w:r>
        <w:rPr>
          <w:rFonts w:hint="eastAsia"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与独立音乐人的独家合作期限不得超过三年，与新歌首发的独家合作期限不得超过三十日。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28"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没有正当理由，不得要求或变相要求上游版权方给予当事人优于其他竞争对手的条件，包括但不限于授权范围、授权金额、授权期限等，或与之相关的任何协议或协议条款。已经达成的，须在本决定发布之日起三十日内解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28"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w:t>
      </w:r>
      <w:r>
        <w:rPr>
          <w:rFonts w:hint="eastAsia" w:ascii="Times New Roman" w:hAnsi="Times New Roman" w:eastAsia="仿宋_GB2312"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kern w:val="2"/>
          <w:sz w:val="32"/>
          <w:szCs w:val="32"/>
          <w:lang w:val="en-US" w:eastAsia="zh-CN" w:bidi="ar-SA"/>
        </w:rPr>
        <w:t>依据版权实际使用情况、用户付费情况、歌曲单价、应用场景、签约期限等因素向上游版权方报价，不得通过高额预付金等方式变相提高竞争对手成本，排除、限制竞争。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jc w:val="both"/>
        <w:textAlignment w:val="auto"/>
        <w:outlineLvl w:val="9"/>
        <w:rPr>
          <w:rFonts w:hint="default" w:eastAsia="楷体_GB2312" w:cs="楷体_GB2312"/>
          <w:b/>
          <w:bCs/>
          <w:kern w:val="2"/>
          <w:sz w:val="32"/>
          <w:szCs w:val="32"/>
          <w:lang w:val="en-US" w:eastAsia="zh-CN" w:bidi="ar-SA"/>
        </w:rPr>
      </w:pPr>
      <w:r>
        <w:rPr>
          <w:rFonts w:hint="eastAsia" w:eastAsia="楷体_GB2312" w:cs="楷体_GB2312"/>
          <w:b/>
          <w:bCs/>
          <w:kern w:val="2"/>
          <w:sz w:val="32"/>
          <w:szCs w:val="32"/>
          <w:lang w:val="en-US" w:eastAsia="zh-CN" w:bidi="ar-SA"/>
        </w:rPr>
        <w:t>（二）处以</w:t>
      </w:r>
      <w:r>
        <w:rPr>
          <w:rFonts w:hint="default" w:eastAsia="楷体_GB2312" w:cs="楷体_GB2312"/>
          <w:b/>
          <w:bCs/>
          <w:kern w:val="2"/>
          <w:sz w:val="32"/>
          <w:szCs w:val="32"/>
          <w:lang w:val="en-US" w:eastAsia="zh-CN" w:bidi="ar-SA"/>
        </w:rPr>
        <w:t>50万元罚款</w:t>
      </w:r>
      <w:r>
        <w:rPr>
          <w:rFonts w:hint="eastAsia" w:eastAsia="楷体_GB2312" w:cs="楷体_GB2312"/>
          <w:b/>
          <w:bCs/>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jc w:val="both"/>
        <w:textAlignment w:val="auto"/>
        <w:outlineLvl w:val="9"/>
        <w:rPr>
          <w:rFonts w:hint="default" w:eastAsia="楷体_GB2312" w:cs="楷体_GB2312"/>
          <w:b/>
          <w:bCs/>
          <w:kern w:val="2"/>
          <w:sz w:val="32"/>
          <w:szCs w:val="32"/>
          <w:lang w:val="en-US" w:eastAsia="zh-CN" w:bidi="ar-SA"/>
        </w:rPr>
      </w:pPr>
      <w:r>
        <w:rPr>
          <w:rFonts w:hint="eastAsia" w:eastAsia="楷体_GB2312" w:cs="楷体_GB2312"/>
          <w:b/>
          <w:bCs/>
          <w:kern w:val="2"/>
          <w:sz w:val="32"/>
          <w:szCs w:val="32"/>
          <w:lang w:val="en-US" w:eastAsia="zh-CN" w:bidi="ar-SA"/>
        </w:rPr>
        <w:t>（三）</w:t>
      </w:r>
      <w:r>
        <w:rPr>
          <w:rFonts w:hint="default" w:eastAsia="楷体_GB2312" w:cs="楷体_GB2312"/>
          <w:b/>
          <w:bCs/>
          <w:kern w:val="2"/>
          <w:sz w:val="32"/>
          <w:szCs w:val="32"/>
          <w:lang w:val="en-US" w:eastAsia="zh-CN" w:bidi="ar-SA"/>
        </w:rPr>
        <w:t>依法申报经营者集中。</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28" w:firstLineChars="200"/>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1. </w:t>
      </w:r>
      <w:r>
        <w:rPr>
          <w:rFonts w:hint="default" w:ascii="Times New Roman" w:hAnsi="Times New Roman" w:eastAsia="仿宋_GB2312" w:cs="Times New Roman"/>
          <w:kern w:val="2"/>
          <w:sz w:val="32"/>
          <w:szCs w:val="32"/>
          <w:lang w:val="en-US" w:eastAsia="zh-CN" w:bidi="ar-SA"/>
        </w:rPr>
        <w:t>经营者集中达到国务院规定的申报标准的，应当事先向市场监管总局申报，未申报的不得实施集中</w:t>
      </w:r>
      <w:r>
        <w:rPr>
          <w:rFonts w:hint="eastAsia" w:eastAsia="仿宋_GB2312" w:cs="Times New Roman"/>
          <w:kern w:val="2"/>
          <w:sz w:val="32"/>
          <w:szCs w:val="32"/>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28" w:firstLineChars="200"/>
        <w:textAlignment w:val="auto"/>
        <w:outlineLvl w:val="9"/>
        <w:rPr>
          <w:rFonts w:hint="default" w:ascii="Times New Roman" w:hAnsi="Times New Roman" w:eastAsia="仿宋_GB2312" w:cs="Times New Roman"/>
          <w:sz w:val="32"/>
          <w:szCs w:val="22"/>
          <w:lang w:val="en-US" w:eastAsia="zh-CN"/>
        </w:rPr>
      </w:pPr>
      <w:r>
        <w:rPr>
          <w:rFonts w:hint="eastAsia" w:ascii="Times New Roman" w:hAnsi="Times New Roman" w:eastAsia="仿宋_GB2312" w:cs="Times New Roman"/>
          <w:kern w:val="2"/>
          <w:sz w:val="32"/>
          <w:szCs w:val="32"/>
          <w:lang w:val="en-US" w:eastAsia="zh-CN" w:bidi="ar-SA"/>
        </w:rPr>
        <w:t xml:space="preserve">2. </w:t>
      </w:r>
      <w:r>
        <w:rPr>
          <w:rFonts w:hint="default" w:ascii="Times New Roman" w:hAnsi="Times New Roman" w:eastAsia="仿宋_GB2312" w:cs="Times New Roman"/>
          <w:kern w:val="2"/>
          <w:sz w:val="32"/>
          <w:szCs w:val="32"/>
          <w:lang w:val="en-US" w:eastAsia="zh-CN" w:bidi="ar-SA"/>
        </w:rPr>
        <w:t>经营者集中未达到申报标准，但该经营者集中具有或者可能具有排除、限制竞争效果的，应当事先向市场监管总局申报，未申报的不得实施集中。</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textAlignment w:val="auto"/>
        <w:outlineLvl w:val="9"/>
        <w:rPr>
          <w:rFonts w:hint="default" w:ascii="Times New Roman" w:hAnsi="Times New Roman" w:eastAsia="仿宋_GB2312" w:cs="Times New Roman"/>
          <w:sz w:val="32"/>
          <w:szCs w:val="22"/>
          <w:lang w:val="en-US" w:eastAsia="zh-CN"/>
        </w:rPr>
      </w:pPr>
      <w:r>
        <w:rPr>
          <w:rFonts w:hint="eastAsia" w:ascii="Times New Roman" w:hAnsi="Times New Roman" w:eastAsia="仿宋_GB2312" w:cs="Times New Roman"/>
          <w:kern w:val="2"/>
          <w:sz w:val="32"/>
          <w:szCs w:val="32"/>
          <w:lang w:val="en-US" w:eastAsia="zh-CN" w:bidi="ar-SA"/>
        </w:rPr>
        <w:t xml:space="preserve">3. </w:t>
      </w:r>
      <w:r>
        <w:rPr>
          <w:rFonts w:hint="default" w:ascii="Times New Roman" w:hAnsi="Times New Roman" w:eastAsia="仿宋_GB2312" w:cs="Times New Roman"/>
          <w:kern w:val="2"/>
          <w:sz w:val="32"/>
          <w:szCs w:val="32"/>
          <w:lang w:val="en-US" w:eastAsia="zh-CN" w:bidi="ar-SA"/>
        </w:rPr>
        <w:t>交易未构成经营者集中的，除法律规定的保护小股东权益事项外，不得参与相关企业经营决策，并在每年的年度报告中向市场监管总局报告交易基本情况等内容。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8" w:firstLineChars="200"/>
        <w:jc w:val="both"/>
        <w:textAlignment w:val="auto"/>
        <w:outlineLvl w:val="9"/>
        <w:rPr>
          <w:rFonts w:hint="default" w:eastAsia="楷体_GB2312" w:cs="楷体_GB2312"/>
          <w:b/>
          <w:bCs/>
          <w:kern w:val="2"/>
          <w:sz w:val="32"/>
          <w:szCs w:val="32"/>
          <w:lang w:val="en-US" w:eastAsia="zh-CN" w:bidi="ar-SA"/>
        </w:rPr>
      </w:pPr>
      <w:r>
        <w:rPr>
          <w:rFonts w:hint="eastAsia" w:eastAsia="楷体_GB2312" w:cs="楷体_GB2312"/>
          <w:b/>
          <w:bCs/>
          <w:kern w:val="2"/>
          <w:sz w:val="32"/>
          <w:szCs w:val="32"/>
          <w:lang w:val="en-US" w:eastAsia="zh-CN" w:bidi="ar-SA"/>
        </w:rPr>
        <w:t>（四）</w:t>
      </w:r>
      <w:r>
        <w:rPr>
          <w:rFonts w:hint="default" w:eastAsia="楷体_GB2312" w:cs="楷体_GB2312"/>
          <w:b/>
          <w:bCs/>
          <w:kern w:val="2"/>
          <w:sz w:val="32"/>
          <w:szCs w:val="32"/>
          <w:lang w:val="en-US" w:eastAsia="zh-CN" w:bidi="ar-SA"/>
        </w:rPr>
        <w:t>依法合规经营，建立健全公平参与市场竞争的长效机制。</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28"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xml:space="preserve">1. </w:t>
      </w:r>
      <w:r>
        <w:rPr>
          <w:rFonts w:hint="default" w:ascii="Times New Roman" w:hAnsi="Times New Roman" w:eastAsia="仿宋_GB2312" w:cs="Times New Roman"/>
          <w:b w:val="0"/>
          <w:bCs w:val="0"/>
          <w:kern w:val="2"/>
          <w:sz w:val="32"/>
          <w:szCs w:val="32"/>
          <w:lang w:val="en-US" w:eastAsia="zh-CN" w:bidi="ar-SA"/>
        </w:rPr>
        <w:t>全面规范自身竞争行为，对照《反垄断法》开展全面深入自查，检视并规范自身经营行为</w:t>
      </w:r>
      <w:r>
        <w:rPr>
          <w:rFonts w:hint="eastAsia" w:eastAsia="仿宋_GB2312" w:cs="Times New Roman"/>
          <w:b w:val="0"/>
          <w:bCs w:val="0"/>
          <w:kern w:val="2"/>
          <w:sz w:val="32"/>
          <w:szCs w:val="32"/>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28"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xml:space="preserve">2. </w:t>
      </w:r>
      <w:r>
        <w:rPr>
          <w:rFonts w:hint="default" w:ascii="Times New Roman" w:hAnsi="Times New Roman" w:eastAsia="仿宋_GB2312" w:cs="Times New Roman"/>
          <w:b w:val="0"/>
          <w:bCs w:val="0"/>
          <w:kern w:val="2"/>
          <w:sz w:val="32"/>
          <w:szCs w:val="32"/>
          <w:lang w:val="en-US" w:eastAsia="zh-CN" w:bidi="ar-SA"/>
        </w:rPr>
        <w:t>严格落实平台企业主体责任，不断完善平台内部治理规则，按照公平、合理、无歧视原则与其他经营者开展合作</w:t>
      </w:r>
      <w:r>
        <w:rPr>
          <w:rFonts w:hint="eastAsia" w:eastAsia="仿宋_GB2312" w:cs="Times New Roman"/>
          <w:b w:val="0"/>
          <w:bCs w:val="0"/>
          <w:kern w:val="2"/>
          <w:sz w:val="32"/>
          <w:szCs w:val="32"/>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28"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xml:space="preserve">3. </w:t>
      </w:r>
      <w:r>
        <w:rPr>
          <w:rFonts w:hint="default" w:ascii="Times New Roman" w:hAnsi="Times New Roman" w:eastAsia="仿宋_GB2312" w:cs="Times New Roman"/>
          <w:b w:val="0"/>
          <w:bCs w:val="0"/>
          <w:kern w:val="2"/>
          <w:sz w:val="32"/>
          <w:szCs w:val="32"/>
          <w:lang w:val="en-US" w:eastAsia="zh-CN" w:bidi="ar-SA"/>
        </w:rPr>
        <w:t>完善企业内部合规控制制度，建立并有效执行反垄断合规制度，自觉维护公平竞争</w:t>
      </w:r>
      <w:r>
        <w:rPr>
          <w:rFonts w:hint="eastAsia" w:eastAsia="仿宋_GB2312" w:cs="Times New Roman"/>
          <w:b w:val="0"/>
          <w:bCs w:val="0"/>
          <w:kern w:val="2"/>
          <w:sz w:val="32"/>
          <w:szCs w:val="32"/>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28"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xml:space="preserve">4. </w:t>
      </w:r>
      <w:r>
        <w:rPr>
          <w:rFonts w:hint="default" w:ascii="Times New Roman" w:hAnsi="Times New Roman" w:eastAsia="仿宋_GB2312" w:cs="Times New Roman"/>
          <w:b w:val="0"/>
          <w:bCs w:val="0"/>
          <w:kern w:val="2"/>
          <w:sz w:val="32"/>
          <w:szCs w:val="32"/>
          <w:lang w:val="en-US" w:eastAsia="zh-CN" w:bidi="ar-SA"/>
        </w:rPr>
        <w:t>保护消费者合法权益。充分保障消费者各项权利，合理制定收费价格，保护消费者隐私</w:t>
      </w:r>
      <w:r>
        <w:rPr>
          <w:rFonts w:hint="eastAsia" w:eastAsia="仿宋_GB2312" w:cs="Times New Roman"/>
          <w:b w:val="0"/>
          <w:bCs w:val="0"/>
          <w:kern w:val="2"/>
          <w:sz w:val="32"/>
          <w:szCs w:val="32"/>
          <w:lang w:val="en-US" w:eastAsia="zh-CN" w:bidi="ar-SA"/>
        </w:rPr>
        <w:t>。</w:t>
      </w:r>
    </w:p>
    <w:p>
      <w:pPr>
        <w:keepNext w:val="0"/>
        <w:keepLines w:val="0"/>
        <w:pageBreakBefore w:val="0"/>
        <w:widowControl w:val="0"/>
        <w:numPr>
          <w:ilvl w:val="-1"/>
          <w:numId w:val="0"/>
        </w:numPr>
        <w:kinsoku/>
        <w:wordWrap/>
        <w:overflowPunct/>
        <w:topLinePunct w:val="0"/>
        <w:autoSpaceDE/>
        <w:autoSpaceDN/>
        <w:bidi w:val="0"/>
        <w:adjustRightInd/>
        <w:snapToGrid/>
        <w:spacing w:line="594" w:lineRule="exact"/>
        <w:ind w:firstLine="628" w:firstLineChars="200"/>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xml:space="preserve">5. </w:t>
      </w:r>
      <w:r>
        <w:rPr>
          <w:rFonts w:hint="default" w:ascii="Times New Roman" w:hAnsi="Times New Roman" w:eastAsia="仿宋_GB2312" w:cs="Times New Roman"/>
          <w:b w:val="0"/>
          <w:bCs w:val="0"/>
          <w:kern w:val="2"/>
          <w:sz w:val="32"/>
          <w:szCs w:val="32"/>
          <w:lang w:val="en-US" w:eastAsia="zh-CN" w:bidi="ar-SA"/>
        </w:rPr>
        <w:t>积极维护公平竞争，推动行业创新发展。</w:t>
      </w:r>
    </w:p>
    <w:p>
      <w:pPr>
        <w:keepNext w:val="0"/>
        <w:keepLines w:val="0"/>
        <w:pageBreakBefore w:val="0"/>
        <w:widowControl w:val="0"/>
        <w:kinsoku/>
        <w:wordWrap/>
        <w:overflowPunct/>
        <w:topLinePunct w:val="0"/>
        <w:autoSpaceDE/>
        <w:autoSpaceDN/>
        <w:bidi w:val="0"/>
        <w:adjustRightInd/>
        <w:snapToGrid/>
        <w:spacing w:line="594" w:lineRule="exact"/>
        <w:ind w:firstLine="628" w:firstLineChars="2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以上措施期限自《行政处罚决定书》下发之日起算</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腾讯及其关联公司</w:t>
      </w:r>
      <w:r>
        <w:rPr>
          <w:rFonts w:hint="eastAsia" w:eastAsia="仿宋_GB2312" w:cs="Times New Roman"/>
          <w:sz w:val="32"/>
          <w:szCs w:val="32"/>
          <w:lang w:eastAsia="zh-CN"/>
        </w:rPr>
        <w:t>须</w:t>
      </w:r>
      <w:r>
        <w:rPr>
          <w:rFonts w:hint="eastAsia" w:ascii="Times New Roman" w:hAnsi="Times New Roman" w:eastAsia="仿宋_GB2312" w:cs="Times New Roman"/>
          <w:sz w:val="32"/>
          <w:szCs w:val="32"/>
          <w:lang w:eastAsia="zh-CN"/>
        </w:rPr>
        <w:t>在</w:t>
      </w:r>
      <w:r>
        <w:rPr>
          <w:rFonts w:hint="eastAsia" w:eastAsia="仿宋_GB2312" w:cs="Times New Roman"/>
          <w:sz w:val="32"/>
          <w:szCs w:val="32"/>
          <w:lang w:eastAsia="zh-CN"/>
        </w:rPr>
        <w:t>十</w:t>
      </w:r>
      <w:r>
        <w:rPr>
          <w:rFonts w:hint="eastAsia"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lang w:eastAsia="zh-CN"/>
        </w:rPr>
        <w:t>对照上述措施制定整改方案，</w:t>
      </w:r>
      <w:r>
        <w:rPr>
          <w:rFonts w:hint="eastAsia" w:eastAsia="仿宋_GB2312" w:cs="Times New Roman"/>
          <w:sz w:val="32"/>
          <w:szCs w:val="32"/>
          <w:lang w:eastAsia="zh-CN"/>
        </w:rPr>
        <w:t>并报市场监管总局审核。</w:t>
      </w:r>
      <w:r>
        <w:rPr>
          <w:rFonts w:hint="default" w:ascii="Times New Roman" w:hAnsi="Times New Roman" w:eastAsia="仿宋_GB2312" w:cs="Times New Roman"/>
          <w:sz w:val="32"/>
          <w:szCs w:val="32"/>
          <w:lang w:eastAsia="zh-CN"/>
        </w:rPr>
        <w:t>市场监管总局</w:t>
      </w:r>
      <w:r>
        <w:rPr>
          <w:rFonts w:hint="eastAsia" w:eastAsia="仿宋_GB2312" w:cs="Times New Roman"/>
          <w:sz w:val="32"/>
          <w:szCs w:val="32"/>
          <w:lang w:eastAsia="zh-CN"/>
        </w:rPr>
        <w:t>三</w:t>
      </w:r>
      <w:r>
        <w:rPr>
          <w:rFonts w:hint="eastAsia" w:eastAsia="仿宋_GB2312" w:cs="Times New Roman"/>
          <w:sz w:val="32"/>
          <w:szCs w:val="32"/>
          <w:lang w:val="en-US" w:eastAsia="zh-CN"/>
        </w:rPr>
        <w:t>年内</w:t>
      </w:r>
      <w:r>
        <w:rPr>
          <w:rFonts w:hint="default" w:ascii="Times New Roman" w:hAnsi="Times New Roman" w:eastAsia="仿宋_GB2312" w:cs="Times New Roman"/>
          <w:sz w:val="32"/>
          <w:szCs w:val="32"/>
          <w:lang w:eastAsia="zh-CN"/>
        </w:rPr>
        <w:t>有权通过监督受托人或自行监督检查腾讯及其关联公司履行上述义务的情况</w:t>
      </w:r>
      <w:r>
        <w:rPr>
          <w:rFonts w:hint="eastAsia" w:eastAsia="仿宋_GB2312" w:cs="Times New Roman"/>
          <w:sz w:val="32"/>
          <w:szCs w:val="32"/>
          <w:lang w:eastAsia="zh-CN"/>
        </w:rPr>
        <w:t>，腾讯三</w:t>
      </w:r>
      <w:r>
        <w:rPr>
          <w:rFonts w:hint="default" w:ascii="Times New Roman" w:hAnsi="Times New Roman" w:eastAsia="仿宋_GB2312" w:cs="Times New Roman"/>
          <w:sz w:val="32"/>
          <w:szCs w:val="32"/>
          <w:lang w:val="en-US" w:eastAsia="zh-CN"/>
        </w:rPr>
        <w:t>年内每年向市场监管总局报告</w:t>
      </w:r>
      <w:r>
        <w:rPr>
          <w:rFonts w:hint="eastAsia" w:eastAsia="仿宋_GB2312" w:cs="Times New Roman"/>
          <w:sz w:val="32"/>
          <w:szCs w:val="32"/>
          <w:lang w:val="en-US" w:eastAsia="zh-CN"/>
        </w:rPr>
        <w:t>履行义务情况</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到期后不再报告。</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rPr>
        <w:t>《行政处罚法》第</w:t>
      </w:r>
      <w:r>
        <w:rPr>
          <w:rFonts w:hint="eastAsia" w:eastAsia="仿宋_GB2312" w:cs="Times New Roman"/>
          <w:kern w:val="2"/>
          <w:sz w:val="32"/>
          <w:szCs w:val="32"/>
          <w:lang w:eastAsia="zh-CN"/>
        </w:rPr>
        <w:t>六十七</w:t>
      </w:r>
      <w:r>
        <w:rPr>
          <w:rFonts w:hint="default" w:ascii="Times New Roman" w:hAnsi="Times New Roman" w:eastAsia="仿宋_GB2312" w:cs="Times New Roman"/>
          <w:kern w:val="2"/>
          <w:sz w:val="32"/>
          <w:szCs w:val="32"/>
        </w:rPr>
        <w:t>条规定</w:t>
      </w:r>
      <w:r>
        <w:rPr>
          <w:rFonts w:hint="default" w:ascii="Times New Roman" w:hAnsi="Times New Roman" w:eastAsia="仿宋_GB2312" w:cs="Times New Roman"/>
          <w:kern w:val="2"/>
          <w:sz w:val="32"/>
          <w:szCs w:val="32"/>
          <w:lang w:eastAsia="zh-CN"/>
        </w:rPr>
        <w:t>“作出罚款决定的行政机关应当与收缴罚款的机构分离。除依照本法第</w:t>
      </w:r>
      <w:r>
        <w:rPr>
          <w:rFonts w:hint="eastAsia" w:eastAsia="仿宋_GB2312" w:cs="Times New Roman"/>
          <w:kern w:val="2"/>
          <w:sz w:val="32"/>
          <w:szCs w:val="32"/>
          <w:lang w:eastAsia="zh-CN"/>
        </w:rPr>
        <w:t>六十八</w:t>
      </w:r>
      <w:r>
        <w:rPr>
          <w:rFonts w:hint="default" w:ascii="Times New Roman" w:hAnsi="Times New Roman" w:eastAsia="仿宋_GB2312" w:cs="Times New Roman"/>
          <w:kern w:val="2"/>
          <w:sz w:val="32"/>
          <w:szCs w:val="32"/>
          <w:lang w:eastAsia="zh-CN"/>
        </w:rPr>
        <w:t>条、第</w:t>
      </w:r>
      <w:r>
        <w:rPr>
          <w:rFonts w:hint="eastAsia" w:eastAsia="仿宋_GB2312" w:cs="Times New Roman"/>
          <w:kern w:val="2"/>
          <w:sz w:val="32"/>
          <w:szCs w:val="32"/>
          <w:lang w:eastAsia="zh-CN"/>
        </w:rPr>
        <w:t>六十九</w:t>
      </w:r>
      <w:r>
        <w:rPr>
          <w:rFonts w:hint="default" w:ascii="Times New Roman" w:hAnsi="Times New Roman" w:eastAsia="仿宋_GB2312" w:cs="Times New Roman"/>
          <w:kern w:val="2"/>
          <w:sz w:val="32"/>
          <w:szCs w:val="32"/>
          <w:lang w:eastAsia="zh-CN"/>
        </w:rPr>
        <w:t>条的规定当场收缴的罚款外，作出行政处罚决定的行政机关及其执法人员不得自行收缴罚款。当事人应当自收到行政处罚决定书之日起十五日内，到指定的银行</w:t>
      </w:r>
      <w:r>
        <w:rPr>
          <w:rFonts w:hint="eastAsia" w:eastAsia="仿宋_GB2312" w:cs="Times New Roman"/>
          <w:kern w:val="2"/>
          <w:sz w:val="32"/>
          <w:szCs w:val="32"/>
          <w:lang w:eastAsia="zh-CN"/>
        </w:rPr>
        <w:t>或者通过电子支付系统</w:t>
      </w:r>
      <w:r>
        <w:rPr>
          <w:rFonts w:hint="default" w:ascii="Times New Roman" w:hAnsi="Times New Roman" w:eastAsia="仿宋_GB2312" w:cs="Times New Roman"/>
          <w:kern w:val="2"/>
          <w:sz w:val="32"/>
          <w:szCs w:val="32"/>
          <w:lang w:eastAsia="zh-CN"/>
        </w:rPr>
        <w:t>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应当自收到本行政处罚决定书之日起十五日内，根据本行政处罚决定书，携缴款码到12家中央财政非税收入收缴代理银行（工、农、中、建、交、中信、光大、招商、邮储、华夏、平安、兴业）任一银行网点或者网上银行交纳罚款。缴款码：</w:t>
      </w:r>
      <w:r>
        <w:rPr>
          <w:rFonts w:hint="eastAsia" w:eastAsia="仿宋_GB2312" w:cs="Times New Roman"/>
          <w:kern w:val="2"/>
          <w:sz w:val="32"/>
          <w:szCs w:val="32"/>
          <w:lang w:val="en-US" w:eastAsia="zh-CN"/>
        </w:rPr>
        <w:t>***</w:t>
      </w:r>
      <w:r>
        <w:rPr>
          <w:rFonts w:hint="default" w:ascii="Times New Roman" w:hAnsi="Times New Roman" w:eastAsia="仿宋_GB2312" w:cs="Times New Roman"/>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28"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当事人</w:t>
      </w:r>
      <w:r>
        <w:rPr>
          <w:rFonts w:hint="default" w:ascii="Times New Roman" w:hAnsi="Times New Roman" w:eastAsia="仿宋_GB2312" w:cs="Times New Roman"/>
          <w:kern w:val="2"/>
          <w:sz w:val="32"/>
          <w:szCs w:val="32"/>
        </w:rPr>
        <w:t>如对上述行政处罚决定不服，可以自收到本行政处罚决定书之日起六十日内，向国家市场监督管理总局申请行政复议；或者自收到本行政处罚决定书之日起六个月内，依法向</w:t>
      </w:r>
      <w:r>
        <w:rPr>
          <w:rFonts w:hint="eastAsia" w:eastAsia="仿宋_GB2312" w:cs="Times New Roman"/>
          <w:kern w:val="2"/>
          <w:sz w:val="32"/>
          <w:szCs w:val="32"/>
          <w:lang w:eastAsia="zh-CN"/>
        </w:rPr>
        <w:t>北京知识产权</w:t>
      </w:r>
      <w:r>
        <w:rPr>
          <w:rFonts w:hint="default" w:ascii="Times New Roman" w:hAnsi="Times New Roman" w:eastAsia="仿宋_GB2312" w:cs="Times New Roman"/>
          <w:kern w:val="2"/>
          <w:sz w:val="32"/>
          <w:szCs w:val="32"/>
        </w:rPr>
        <w:t xml:space="preserve">法院提起行政诉讼。行政复议或者行政诉讼期间，本行政处罚决定不停止执行。 </w:t>
      </w:r>
    </w:p>
    <w:p>
      <w:pPr>
        <w:pStyle w:val="2"/>
        <w:rPr>
          <w:rFonts w:hint="default"/>
        </w:rPr>
      </w:pPr>
    </w:p>
    <w:p>
      <w:pPr>
        <w:keepNext w:val="0"/>
        <w:keepLines w:val="0"/>
        <w:pageBreakBefore w:val="0"/>
        <w:widowControl w:val="0"/>
        <w:kinsoku/>
        <w:wordWrap/>
        <w:topLinePunct w:val="0"/>
        <w:bidi w:val="0"/>
        <w:snapToGrid w:val="0"/>
        <w:spacing w:line="594" w:lineRule="exact"/>
        <w:ind w:firstLine="6280" w:firstLineChars="2000"/>
        <w:textAlignment w:val="auto"/>
        <w:rPr>
          <w:rFonts w:hint="eastAsia"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rPr>
        <w:t>市场监管总局</w:t>
      </w:r>
      <w:r>
        <w:rPr>
          <w:rFonts w:hint="eastAsia" w:eastAsia="仿宋_GB2312" w:cs="Times New Roman"/>
          <w:kern w:val="2"/>
          <w:sz w:val="32"/>
          <w:szCs w:val="32"/>
          <w:lang w:val="en-US" w:eastAsia="zh-CN"/>
        </w:rPr>
        <w:t xml:space="preserve"> </w:t>
      </w:r>
    </w:p>
    <w:p>
      <w:pPr>
        <w:keepNext w:val="0"/>
        <w:keepLines w:val="0"/>
        <w:pageBreakBefore w:val="0"/>
        <w:widowControl w:val="0"/>
        <w:kinsoku/>
        <w:wordWrap/>
        <w:topLinePunct w:val="0"/>
        <w:bidi w:val="0"/>
        <w:snapToGrid w:val="0"/>
        <w:spacing w:line="594" w:lineRule="exact"/>
        <w:ind w:firstLine="5966" w:firstLineChars="1900"/>
        <w:textAlignment w:val="auto"/>
        <w:rPr>
          <w:rFonts w:hint="default" w:ascii="Times New Roman" w:hAnsi="Times New Roman" w:cs="Times New Roman"/>
          <w:sz w:val="32"/>
          <w:szCs w:val="32"/>
        </w:rPr>
      </w:pPr>
      <w:bookmarkStart w:id="0" w:name="_GoBack"/>
      <w:bookmarkEnd w:id="0"/>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rPr>
        <w:t>月</w:t>
      </w:r>
      <w:r>
        <w:rPr>
          <w:rFonts w:hint="eastAsia" w:eastAsia="仿宋_GB2312" w:cs="Times New Roman"/>
          <w:kern w:val="2"/>
          <w:sz w:val="32"/>
          <w:szCs w:val="32"/>
          <w:lang w:val="en-US" w:eastAsia="zh-CN"/>
        </w:rPr>
        <w:t>24</w:t>
      </w:r>
      <w:r>
        <w:rPr>
          <w:rFonts w:hint="default" w:ascii="Times New Roman" w:hAnsi="Times New Roman" w:eastAsia="仿宋_GB2312" w:cs="Times New Roman"/>
          <w:kern w:val="2"/>
          <w:sz w:val="32"/>
          <w:szCs w:val="32"/>
        </w:rPr>
        <w:t>日</w:t>
      </w:r>
    </w:p>
    <w:sectPr>
      <w:footerReference r:id="rId3" w:type="default"/>
      <w:footerReference r:id="rId4" w:type="even"/>
      <w:pgSz w:w="11906" w:h="16838"/>
      <w:pgMar w:top="2098" w:right="1474" w:bottom="1985" w:left="1474" w:header="851" w:footer="1814" w:gutter="0"/>
      <w:cols w:space="720" w:num="1"/>
      <w:docGrid w:type="linesAndChars" w:linePitch="289"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ind w:left="315" w:leftChars="150" w:right="315" w:rightChars="15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75651"/>
    <w:multiLevelType w:val="singleLevel"/>
    <w:tmpl w:val="4E275651"/>
    <w:lvl w:ilvl="0" w:tentative="0">
      <w:start w:val="1"/>
      <w:numFmt w:val="decimal"/>
      <w:suff w:val="space"/>
      <w:lvlText w:val="%1."/>
      <w:lvlJc w:val="left"/>
    </w:lvl>
  </w:abstractNum>
  <w:abstractNum w:abstractNumId="1">
    <w:nsid w:val="55568C12"/>
    <w:multiLevelType w:val="singleLevel"/>
    <w:tmpl w:val="55568C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570B1"/>
    <w:rsid w:val="000C67F9"/>
    <w:rsid w:val="00144F88"/>
    <w:rsid w:val="001F3E93"/>
    <w:rsid w:val="00451EE4"/>
    <w:rsid w:val="006E4DE0"/>
    <w:rsid w:val="01373A9E"/>
    <w:rsid w:val="0274095F"/>
    <w:rsid w:val="028156C9"/>
    <w:rsid w:val="03A27EE0"/>
    <w:rsid w:val="03A610E1"/>
    <w:rsid w:val="040B5DD4"/>
    <w:rsid w:val="0420506B"/>
    <w:rsid w:val="04275AEC"/>
    <w:rsid w:val="04490722"/>
    <w:rsid w:val="044E2A1A"/>
    <w:rsid w:val="050769D4"/>
    <w:rsid w:val="05D15580"/>
    <w:rsid w:val="05DA3D7B"/>
    <w:rsid w:val="06581842"/>
    <w:rsid w:val="070D2CA7"/>
    <w:rsid w:val="073C480E"/>
    <w:rsid w:val="075327C0"/>
    <w:rsid w:val="075F674C"/>
    <w:rsid w:val="07CA3400"/>
    <w:rsid w:val="08610952"/>
    <w:rsid w:val="08A56348"/>
    <w:rsid w:val="08CD19A1"/>
    <w:rsid w:val="08FB0FA8"/>
    <w:rsid w:val="0977269F"/>
    <w:rsid w:val="09AC08F5"/>
    <w:rsid w:val="09B373EE"/>
    <w:rsid w:val="0A11383A"/>
    <w:rsid w:val="0A3B7DD7"/>
    <w:rsid w:val="0A9A6A68"/>
    <w:rsid w:val="0AB628EC"/>
    <w:rsid w:val="0B026DDB"/>
    <w:rsid w:val="0B377F32"/>
    <w:rsid w:val="0B9666BC"/>
    <w:rsid w:val="0B9956A1"/>
    <w:rsid w:val="0BA76396"/>
    <w:rsid w:val="0C002BC8"/>
    <w:rsid w:val="0C20192C"/>
    <w:rsid w:val="0C5E2F16"/>
    <w:rsid w:val="0D0A27DA"/>
    <w:rsid w:val="0D545D61"/>
    <w:rsid w:val="0DBB5F3C"/>
    <w:rsid w:val="0ED8172F"/>
    <w:rsid w:val="0F22750C"/>
    <w:rsid w:val="0F972852"/>
    <w:rsid w:val="0FD211F0"/>
    <w:rsid w:val="10047453"/>
    <w:rsid w:val="104340DE"/>
    <w:rsid w:val="10706A26"/>
    <w:rsid w:val="10A80B75"/>
    <w:rsid w:val="10C843A3"/>
    <w:rsid w:val="113B0445"/>
    <w:rsid w:val="11EB2101"/>
    <w:rsid w:val="12653A29"/>
    <w:rsid w:val="12DB6A48"/>
    <w:rsid w:val="12F262B7"/>
    <w:rsid w:val="13674760"/>
    <w:rsid w:val="138474A6"/>
    <w:rsid w:val="13F85EFD"/>
    <w:rsid w:val="142A3077"/>
    <w:rsid w:val="143A28AA"/>
    <w:rsid w:val="14BF4A34"/>
    <w:rsid w:val="1503756E"/>
    <w:rsid w:val="15C771FA"/>
    <w:rsid w:val="160C7985"/>
    <w:rsid w:val="16657401"/>
    <w:rsid w:val="169767E4"/>
    <w:rsid w:val="16D82EBB"/>
    <w:rsid w:val="17397234"/>
    <w:rsid w:val="181273FD"/>
    <w:rsid w:val="181D2AB5"/>
    <w:rsid w:val="185321AB"/>
    <w:rsid w:val="186417DD"/>
    <w:rsid w:val="18A63F66"/>
    <w:rsid w:val="18D41B5D"/>
    <w:rsid w:val="18DB1E51"/>
    <w:rsid w:val="192053EE"/>
    <w:rsid w:val="1A156921"/>
    <w:rsid w:val="1A2A7AFD"/>
    <w:rsid w:val="1A617A8D"/>
    <w:rsid w:val="1A6F5085"/>
    <w:rsid w:val="1AAA3E61"/>
    <w:rsid w:val="1AC0092C"/>
    <w:rsid w:val="1B095395"/>
    <w:rsid w:val="1B302536"/>
    <w:rsid w:val="1B39785E"/>
    <w:rsid w:val="1B616048"/>
    <w:rsid w:val="1C0355DD"/>
    <w:rsid w:val="1C0A3746"/>
    <w:rsid w:val="1C177E02"/>
    <w:rsid w:val="1D2B2A4D"/>
    <w:rsid w:val="1D3570B1"/>
    <w:rsid w:val="1DDF595A"/>
    <w:rsid w:val="1DE94450"/>
    <w:rsid w:val="1E3A6FCC"/>
    <w:rsid w:val="1F1616DD"/>
    <w:rsid w:val="1F573D93"/>
    <w:rsid w:val="20AB26E7"/>
    <w:rsid w:val="21675D30"/>
    <w:rsid w:val="21B67E37"/>
    <w:rsid w:val="21E50F2A"/>
    <w:rsid w:val="21F87B96"/>
    <w:rsid w:val="222B796F"/>
    <w:rsid w:val="2287012C"/>
    <w:rsid w:val="22EF4DDC"/>
    <w:rsid w:val="22F5388F"/>
    <w:rsid w:val="230A1ED1"/>
    <w:rsid w:val="232E6AC5"/>
    <w:rsid w:val="238D2EC4"/>
    <w:rsid w:val="23FB17D3"/>
    <w:rsid w:val="243616A1"/>
    <w:rsid w:val="245419FD"/>
    <w:rsid w:val="251205C8"/>
    <w:rsid w:val="253053AB"/>
    <w:rsid w:val="25337DC1"/>
    <w:rsid w:val="265326DA"/>
    <w:rsid w:val="266F0D23"/>
    <w:rsid w:val="26875786"/>
    <w:rsid w:val="26DE24CB"/>
    <w:rsid w:val="26F3395A"/>
    <w:rsid w:val="281325DE"/>
    <w:rsid w:val="289935B1"/>
    <w:rsid w:val="28C76B99"/>
    <w:rsid w:val="28C8606C"/>
    <w:rsid w:val="28DF5B29"/>
    <w:rsid w:val="28F6473D"/>
    <w:rsid w:val="28FD2F4A"/>
    <w:rsid w:val="29134AA8"/>
    <w:rsid w:val="29171A1E"/>
    <w:rsid w:val="2A4C51BE"/>
    <w:rsid w:val="2B283404"/>
    <w:rsid w:val="2BC20639"/>
    <w:rsid w:val="2BFE7D6E"/>
    <w:rsid w:val="2C3D4EC3"/>
    <w:rsid w:val="2C4A6CE0"/>
    <w:rsid w:val="2C5B6669"/>
    <w:rsid w:val="2C5C2A8F"/>
    <w:rsid w:val="2CD844CE"/>
    <w:rsid w:val="2D6B0EBE"/>
    <w:rsid w:val="2D6F1A4E"/>
    <w:rsid w:val="2DAD775E"/>
    <w:rsid w:val="2E0F71DC"/>
    <w:rsid w:val="2E370F48"/>
    <w:rsid w:val="2E553824"/>
    <w:rsid w:val="2EEC105B"/>
    <w:rsid w:val="2F431C6A"/>
    <w:rsid w:val="2F57784D"/>
    <w:rsid w:val="2F5A6F27"/>
    <w:rsid w:val="2FA15E62"/>
    <w:rsid w:val="2FC22C77"/>
    <w:rsid w:val="304B385E"/>
    <w:rsid w:val="305E3D64"/>
    <w:rsid w:val="306903EC"/>
    <w:rsid w:val="308635E5"/>
    <w:rsid w:val="31DA359E"/>
    <w:rsid w:val="31DB36E7"/>
    <w:rsid w:val="31E778A8"/>
    <w:rsid w:val="32402602"/>
    <w:rsid w:val="32863BFF"/>
    <w:rsid w:val="32BF5EC6"/>
    <w:rsid w:val="33116BC0"/>
    <w:rsid w:val="33206AEB"/>
    <w:rsid w:val="332F5C41"/>
    <w:rsid w:val="333463C2"/>
    <w:rsid w:val="334C3496"/>
    <w:rsid w:val="338B1C20"/>
    <w:rsid w:val="33B94AAA"/>
    <w:rsid w:val="349813BA"/>
    <w:rsid w:val="349E7622"/>
    <w:rsid w:val="34C30551"/>
    <w:rsid w:val="35562953"/>
    <w:rsid w:val="355832FF"/>
    <w:rsid w:val="359D69F8"/>
    <w:rsid w:val="368A2FF7"/>
    <w:rsid w:val="36A03A82"/>
    <w:rsid w:val="36C26B77"/>
    <w:rsid w:val="36C26F14"/>
    <w:rsid w:val="37050775"/>
    <w:rsid w:val="375F0C49"/>
    <w:rsid w:val="37952F1A"/>
    <w:rsid w:val="37C80F27"/>
    <w:rsid w:val="38043EF0"/>
    <w:rsid w:val="38416390"/>
    <w:rsid w:val="38ED5569"/>
    <w:rsid w:val="39167C1B"/>
    <w:rsid w:val="39284D46"/>
    <w:rsid w:val="39591888"/>
    <w:rsid w:val="39CF5EFA"/>
    <w:rsid w:val="3A2F4EF0"/>
    <w:rsid w:val="3A3F3A24"/>
    <w:rsid w:val="3A76381F"/>
    <w:rsid w:val="3A8553AD"/>
    <w:rsid w:val="3AC924F6"/>
    <w:rsid w:val="3ADD2A1C"/>
    <w:rsid w:val="3B001CB5"/>
    <w:rsid w:val="3B107B33"/>
    <w:rsid w:val="3B7A5D3F"/>
    <w:rsid w:val="3B870767"/>
    <w:rsid w:val="3C0B0E33"/>
    <w:rsid w:val="3C224244"/>
    <w:rsid w:val="3DD831A5"/>
    <w:rsid w:val="3F0F19F2"/>
    <w:rsid w:val="3FDE48D9"/>
    <w:rsid w:val="3FE30A73"/>
    <w:rsid w:val="3FFF27AD"/>
    <w:rsid w:val="40D84344"/>
    <w:rsid w:val="40DF14CE"/>
    <w:rsid w:val="41CF0BD4"/>
    <w:rsid w:val="41F37FE9"/>
    <w:rsid w:val="42637059"/>
    <w:rsid w:val="4297136E"/>
    <w:rsid w:val="432840A3"/>
    <w:rsid w:val="432F7ED1"/>
    <w:rsid w:val="435361E6"/>
    <w:rsid w:val="438B7A97"/>
    <w:rsid w:val="44086AD4"/>
    <w:rsid w:val="44750D14"/>
    <w:rsid w:val="44DB0EDB"/>
    <w:rsid w:val="44F1186A"/>
    <w:rsid w:val="453F54B0"/>
    <w:rsid w:val="45572BF8"/>
    <w:rsid w:val="45BF46A2"/>
    <w:rsid w:val="45EE1823"/>
    <w:rsid w:val="45F00B2E"/>
    <w:rsid w:val="463C5503"/>
    <w:rsid w:val="46466EA5"/>
    <w:rsid w:val="47627556"/>
    <w:rsid w:val="47EF6049"/>
    <w:rsid w:val="488B238D"/>
    <w:rsid w:val="48991019"/>
    <w:rsid w:val="48BA3DFB"/>
    <w:rsid w:val="49513DE5"/>
    <w:rsid w:val="495D0BBD"/>
    <w:rsid w:val="49D62F08"/>
    <w:rsid w:val="49F75885"/>
    <w:rsid w:val="4A4B43DC"/>
    <w:rsid w:val="4ABC40B8"/>
    <w:rsid w:val="4B033440"/>
    <w:rsid w:val="4B573ADC"/>
    <w:rsid w:val="4BA27AA4"/>
    <w:rsid w:val="4CD66D0A"/>
    <w:rsid w:val="4D042965"/>
    <w:rsid w:val="4D6D1B20"/>
    <w:rsid w:val="4DA5774A"/>
    <w:rsid w:val="4EF957B9"/>
    <w:rsid w:val="4EFD73AF"/>
    <w:rsid w:val="4F342670"/>
    <w:rsid w:val="4F60167E"/>
    <w:rsid w:val="4FA614B8"/>
    <w:rsid w:val="50A575A1"/>
    <w:rsid w:val="50A86FBE"/>
    <w:rsid w:val="50AA65C6"/>
    <w:rsid w:val="51075873"/>
    <w:rsid w:val="513018DC"/>
    <w:rsid w:val="51653DDF"/>
    <w:rsid w:val="52040663"/>
    <w:rsid w:val="52156831"/>
    <w:rsid w:val="52A77C54"/>
    <w:rsid w:val="52E51A78"/>
    <w:rsid w:val="53262697"/>
    <w:rsid w:val="53583E9D"/>
    <w:rsid w:val="53A87D22"/>
    <w:rsid w:val="53B910CB"/>
    <w:rsid w:val="548040E1"/>
    <w:rsid w:val="5671079E"/>
    <w:rsid w:val="5694598F"/>
    <w:rsid w:val="56CE5C08"/>
    <w:rsid w:val="56E50289"/>
    <w:rsid w:val="56E97A13"/>
    <w:rsid w:val="5794435E"/>
    <w:rsid w:val="57C061FF"/>
    <w:rsid w:val="589F7A5B"/>
    <w:rsid w:val="58AF7DC5"/>
    <w:rsid w:val="590500B3"/>
    <w:rsid w:val="59213CCB"/>
    <w:rsid w:val="5945133A"/>
    <w:rsid w:val="59F175A7"/>
    <w:rsid w:val="5A402F56"/>
    <w:rsid w:val="5A8D2EAC"/>
    <w:rsid w:val="5AE479CC"/>
    <w:rsid w:val="5AEA5646"/>
    <w:rsid w:val="5AEC213E"/>
    <w:rsid w:val="5B282F21"/>
    <w:rsid w:val="5B2A5CA6"/>
    <w:rsid w:val="5B2D42A6"/>
    <w:rsid w:val="5BB11942"/>
    <w:rsid w:val="5BDD2331"/>
    <w:rsid w:val="5C686AC3"/>
    <w:rsid w:val="5CA32922"/>
    <w:rsid w:val="5CDC021D"/>
    <w:rsid w:val="5D4E6DD5"/>
    <w:rsid w:val="5D6304FD"/>
    <w:rsid w:val="5E0A7FD2"/>
    <w:rsid w:val="5F1A61EC"/>
    <w:rsid w:val="5F2A3663"/>
    <w:rsid w:val="5F5D1E45"/>
    <w:rsid w:val="5F8F0B24"/>
    <w:rsid w:val="60125A17"/>
    <w:rsid w:val="60147C4D"/>
    <w:rsid w:val="60196F7D"/>
    <w:rsid w:val="60243865"/>
    <w:rsid w:val="604A0515"/>
    <w:rsid w:val="612D2905"/>
    <w:rsid w:val="61357407"/>
    <w:rsid w:val="61514FD3"/>
    <w:rsid w:val="61DE63DE"/>
    <w:rsid w:val="62160C65"/>
    <w:rsid w:val="62732327"/>
    <w:rsid w:val="629C05B2"/>
    <w:rsid w:val="630535E1"/>
    <w:rsid w:val="6317075C"/>
    <w:rsid w:val="631D0146"/>
    <w:rsid w:val="63432760"/>
    <w:rsid w:val="638C3266"/>
    <w:rsid w:val="640E6FE8"/>
    <w:rsid w:val="6429439A"/>
    <w:rsid w:val="64923D9A"/>
    <w:rsid w:val="658A4E90"/>
    <w:rsid w:val="66116F9D"/>
    <w:rsid w:val="664E1E48"/>
    <w:rsid w:val="66BB49B9"/>
    <w:rsid w:val="66BE1953"/>
    <w:rsid w:val="67962503"/>
    <w:rsid w:val="67BD78C7"/>
    <w:rsid w:val="68197930"/>
    <w:rsid w:val="68420D21"/>
    <w:rsid w:val="684D58F6"/>
    <w:rsid w:val="686D740E"/>
    <w:rsid w:val="68CC0712"/>
    <w:rsid w:val="6A070A2C"/>
    <w:rsid w:val="6A120159"/>
    <w:rsid w:val="6ACD5B01"/>
    <w:rsid w:val="6B746723"/>
    <w:rsid w:val="6B927B9B"/>
    <w:rsid w:val="6BE915F7"/>
    <w:rsid w:val="6C275D11"/>
    <w:rsid w:val="6C6717FD"/>
    <w:rsid w:val="6CA043C2"/>
    <w:rsid w:val="6CE22293"/>
    <w:rsid w:val="6D266167"/>
    <w:rsid w:val="6D731E07"/>
    <w:rsid w:val="6D83171B"/>
    <w:rsid w:val="6E8C1E7A"/>
    <w:rsid w:val="6F19617F"/>
    <w:rsid w:val="6F6246FF"/>
    <w:rsid w:val="6F712D0C"/>
    <w:rsid w:val="6FBA0E83"/>
    <w:rsid w:val="7073388E"/>
    <w:rsid w:val="711068B5"/>
    <w:rsid w:val="714105C6"/>
    <w:rsid w:val="71505F25"/>
    <w:rsid w:val="717256E9"/>
    <w:rsid w:val="720F28B3"/>
    <w:rsid w:val="721522D0"/>
    <w:rsid w:val="721757CA"/>
    <w:rsid w:val="721855EC"/>
    <w:rsid w:val="736F22A8"/>
    <w:rsid w:val="745C0AB3"/>
    <w:rsid w:val="74A14BF8"/>
    <w:rsid w:val="74CF1391"/>
    <w:rsid w:val="756A573C"/>
    <w:rsid w:val="75C014E7"/>
    <w:rsid w:val="75C83724"/>
    <w:rsid w:val="769346E3"/>
    <w:rsid w:val="776A0B33"/>
    <w:rsid w:val="779E5B57"/>
    <w:rsid w:val="78237A9F"/>
    <w:rsid w:val="787641A6"/>
    <w:rsid w:val="793B1D95"/>
    <w:rsid w:val="7995352A"/>
    <w:rsid w:val="79C07649"/>
    <w:rsid w:val="79F3708F"/>
    <w:rsid w:val="7A782B89"/>
    <w:rsid w:val="7AA55817"/>
    <w:rsid w:val="7AAA2F92"/>
    <w:rsid w:val="7ACC6354"/>
    <w:rsid w:val="7B537A2A"/>
    <w:rsid w:val="7B5602D0"/>
    <w:rsid w:val="7BA656E0"/>
    <w:rsid w:val="7C2A6126"/>
    <w:rsid w:val="7D641176"/>
    <w:rsid w:val="7DB0473B"/>
    <w:rsid w:val="7DD57CB5"/>
    <w:rsid w:val="7DD710FF"/>
    <w:rsid w:val="7EB8019E"/>
    <w:rsid w:val="7F0A14BD"/>
    <w:rsid w:val="7F1F0A1E"/>
    <w:rsid w:val="7F587CA4"/>
    <w:rsid w:val="7F6D24AF"/>
    <w:rsid w:val="7FC53EB3"/>
    <w:rsid w:val="7FD83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3">
    <w:name w:val="Normal Indent"/>
    <w:basedOn w:val="1"/>
    <w:qFormat/>
    <w:uiPriority w:val="0"/>
    <w:pPr>
      <w:spacing w:line="360" w:lineRule="exact"/>
      <w:ind w:firstLine="420" w:firstLineChars="200"/>
    </w:pPr>
    <w:rPr>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footnote text"/>
    <w:basedOn w:val="1"/>
    <w:qFormat/>
    <w:uiPriority w:val="0"/>
    <w:pPr>
      <w:snapToGrid w:val="0"/>
      <w:jc w:val="left"/>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styleId="9">
    <w:name w:val="footnote reference"/>
    <w:basedOn w:val="7"/>
    <w:qFormat/>
    <w:uiPriority w:val="0"/>
    <w:rPr>
      <w:vertAlign w:val="superscript"/>
    </w:rPr>
  </w:style>
  <w:style w:type="paragraph" w:customStyle="1" w:styleId="11">
    <w:name w:val="内容"/>
    <w:basedOn w:val="1"/>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2020-12-10T02:26:00Z</dcterms:created>
  <dc:creator>徐霄飞</dc:creator>
  <cp:lastModifiedBy>齐双林</cp:lastModifiedBy>
  <cp:lastPrinted>2021-07-23T06:46:00Z</cp:lastPrinted>
  <dcterms:modified xsi:type="dcterms:W3CDTF">2021-07-23T07:45:26Z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